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Default="00A90531" w:rsidP="001622BF">
      <w:pPr>
        <w:jc w:val="center"/>
        <w:rPr>
          <w:lang w:val="lv-LV"/>
        </w:rPr>
        <w:sectPr w:rsidR="00A90531" w:rsidSect="00A90531">
          <w:headerReference w:type="first" r:id="rId8"/>
          <w:type w:val="continuous"/>
          <w:pgSz w:w="11910" w:h="16840"/>
          <w:pgMar w:top="4451" w:right="851" w:bottom="1134" w:left="1701" w:header="720" w:footer="720" w:gutter="0"/>
          <w:cols w:space="720"/>
          <w:titlePg/>
          <w:docGrid w:linePitch="272"/>
        </w:sectPr>
      </w:pPr>
    </w:p>
    <w:p w14:paraId="174DA142" w14:textId="77777777" w:rsidR="004301A8" w:rsidRPr="004301A8" w:rsidRDefault="004301A8" w:rsidP="004301A8">
      <w:pPr>
        <w:spacing w:before="120"/>
        <w:rPr>
          <w:lang w:val="lv-LV"/>
        </w:rPr>
      </w:pPr>
      <w:r w:rsidRPr="004301A8">
        <w:rPr>
          <w:noProof/>
          <w:sz w:val="24"/>
          <w:szCs w:val="24"/>
          <w:lang w:val="lv-LV" w:eastAsia="lv-LV"/>
        </w:rPr>
        <mc:AlternateContent>
          <mc:Choice Requires="wps">
            <w:drawing>
              <wp:anchor distT="0" distB="0" distL="114300" distR="114300" simplePos="0" relativeHeight="251659264" behindDoc="0" locked="0" layoutInCell="1" allowOverlap="1" wp14:anchorId="3925F27E" wp14:editId="7FD4A9A8">
                <wp:simplePos x="0" y="0"/>
                <wp:positionH relativeFrom="column">
                  <wp:posOffset>6342380</wp:posOffset>
                </wp:positionH>
                <wp:positionV relativeFrom="paragraph">
                  <wp:posOffset>627380</wp:posOffset>
                </wp:positionV>
                <wp:extent cx="254000" cy="111760"/>
                <wp:effectExtent l="2540" t="2540" r="63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FCAB9F" id="Rectangle 14" o:spid="_x0000_s1026" style="position:absolute;margin-left:499.4pt;margin-top:49.4pt;width:20pt;height: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4301A8">
        <w:rPr>
          <w:noProof/>
          <w:sz w:val="24"/>
          <w:szCs w:val="24"/>
          <w:lang w:val="lv-LV" w:eastAsia="lv-LV"/>
        </w:rPr>
        <mc:AlternateContent>
          <mc:Choice Requires="wps">
            <w:drawing>
              <wp:anchor distT="0" distB="0" distL="114300" distR="114300" simplePos="0" relativeHeight="251660288" behindDoc="0" locked="0" layoutInCell="1" allowOverlap="1" wp14:anchorId="1C7D82BA" wp14:editId="160CD43E">
                <wp:simplePos x="0" y="0"/>
                <wp:positionH relativeFrom="column">
                  <wp:posOffset>6342380</wp:posOffset>
                </wp:positionH>
                <wp:positionV relativeFrom="paragraph">
                  <wp:posOffset>627380</wp:posOffset>
                </wp:positionV>
                <wp:extent cx="254000" cy="111760"/>
                <wp:effectExtent l="2540" t="2540" r="635"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40E4CE" id="Rectangle 3" o:spid="_x0000_s1026" style="position:absolute;margin-left:499.4pt;margin-top:49.4pt;width:20pt;height:8.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4301A8">
        <w:rPr>
          <w:noProof/>
          <w:sz w:val="24"/>
          <w:szCs w:val="24"/>
          <w:lang w:val="lv-LV" w:eastAsia="lv-LV"/>
        </w:rPr>
        <mc:AlternateContent>
          <mc:Choice Requires="wps">
            <w:drawing>
              <wp:anchor distT="0" distB="0" distL="114300" distR="114300" simplePos="0" relativeHeight="251661312" behindDoc="0" locked="0" layoutInCell="1" allowOverlap="1" wp14:anchorId="05370A9F" wp14:editId="2B9F1CCD">
                <wp:simplePos x="0" y="0"/>
                <wp:positionH relativeFrom="column">
                  <wp:posOffset>6342380</wp:posOffset>
                </wp:positionH>
                <wp:positionV relativeFrom="paragraph">
                  <wp:posOffset>627380</wp:posOffset>
                </wp:positionV>
                <wp:extent cx="254000" cy="111760"/>
                <wp:effectExtent l="2540" t="2540" r="635" b="0"/>
                <wp:wrapNone/>
                <wp:docPr id="2397490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81498B" id="Rectangle 14" o:spid="_x0000_s1026" style="position:absolute;margin-left:499.4pt;margin-top:49.4pt;width:20pt;height: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4301A8">
        <w:rPr>
          <w:noProof/>
          <w:sz w:val="24"/>
          <w:szCs w:val="24"/>
          <w:lang w:val="lv-LV" w:eastAsia="lv-LV"/>
        </w:rPr>
        <mc:AlternateContent>
          <mc:Choice Requires="wps">
            <w:drawing>
              <wp:anchor distT="0" distB="0" distL="114300" distR="114300" simplePos="0" relativeHeight="251662336" behindDoc="0" locked="0" layoutInCell="1" allowOverlap="1" wp14:anchorId="1220B04E" wp14:editId="0B184CEC">
                <wp:simplePos x="0" y="0"/>
                <wp:positionH relativeFrom="column">
                  <wp:posOffset>6342380</wp:posOffset>
                </wp:positionH>
                <wp:positionV relativeFrom="paragraph">
                  <wp:posOffset>627380</wp:posOffset>
                </wp:positionV>
                <wp:extent cx="254000" cy="111760"/>
                <wp:effectExtent l="2540" t="2540" r="635" b="0"/>
                <wp:wrapNone/>
                <wp:docPr id="6134075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1176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alpha val="74997"/>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EFD53" id="Rectangle 3" o:spid="_x0000_s1026" style="position:absolute;margin-left:499.4pt;margin-top:49.4pt;width:20pt;height:8.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" stroked="f">
                <v:stroke joinstyle="round"/>
                <v:shadow opacity="49150f"/>
              </v:rect>
            </w:pict>
          </mc:Fallback>
        </mc:AlternateContent>
      </w:r>
      <w:r w:rsidRPr="004301A8">
        <w:rPr>
          <w:sz w:val="24"/>
          <w:szCs w:val="24"/>
          <w:lang w:val="lv-LV"/>
        </w:rPr>
        <w:t>Rīgā, 2026. gada 28.</w:t>
      </w:r>
      <w:r w:rsidRPr="004301A8">
        <w:rPr>
          <w:lang w:val="lv-LV"/>
        </w:rPr>
        <w:t> </w:t>
      </w:r>
      <w:r w:rsidRPr="004301A8">
        <w:rPr>
          <w:sz w:val="24"/>
          <w:szCs w:val="24"/>
          <w:lang w:val="lv-LV"/>
        </w:rPr>
        <w:t>maijā</w:t>
      </w:r>
    </w:p>
    <w:p w14:paraId="18301A99" w14:textId="77777777" w:rsidR="004301A8" w:rsidRPr="004301A8" w:rsidRDefault="004301A8" w:rsidP="004301A8">
      <w:pPr>
        <w:ind w:left="-142" w:hanging="180"/>
        <w:jc w:val="right"/>
        <w:rPr>
          <w:b/>
          <w:bCs/>
          <w:sz w:val="24"/>
          <w:szCs w:val="24"/>
          <w:highlight w:val="yellow"/>
          <w:lang w:val="lv-LV"/>
        </w:rPr>
      </w:pPr>
    </w:p>
    <w:p w14:paraId="08792D36" w14:textId="09478811" w:rsidR="004301A8" w:rsidRPr="004301A8" w:rsidRDefault="004301A8" w:rsidP="004301A8">
      <w:pPr>
        <w:ind w:left="284"/>
        <w:jc w:val="center"/>
        <w:outlineLvl w:val="0"/>
        <w:rPr>
          <w:b/>
          <w:bCs/>
          <w:sz w:val="24"/>
          <w:szCs w:val="24"/>
          <w:lang w:val="lv-LV"/>
        </w:rPr>
      </w:pPr>
      <w:r w:rsidRPr="004301A8">
        <w:rPr>
          <w:b/>
          <w:bCs/>
          <w:sz w:val="24"/>
          <w:szCs w:val="24"/>
          <w:lang w:val="lv-LV"/>
        </w:rPr>
        <w:t>LĒMUMS Nr. </w:t>
      </w:r>
      <w:r w:rsidR="00684C99">
        <w:rPr>
          <w:b/>
          <w:bCs/>
          <w:sz w:val="24"/>
          <w:szCs w:val="24"/>
          <w:lang w:val="lv-LV"/>
        </w:rPr>
        <w:t xml:space="preserve">26 </w:t>
      </w:r>
      <w:r w:rsidRPr="004301A8">
        <w:rPr>
          <w:b/>
          <w:bCs/>
          <w:sz w:val="24"/>
          <w:szCs w:val="24"/>
          <w:lang w:val="lv-LV"/>
        </w:rPr>
        <w:t>/1-1</w:t>
      </w:r>
    </w:p>
    <w:p w14:paraId="2BC82AFD" w14:textId="77777777" w:rsidR="004301A8" w:rsidRPr="004301A8" w:rsidRDefault="004301A8" w:rsidP="004301A8">
      <w:pPr>
        <w:ind w:left="284"/>
        <w:jc w:val="center"/>
        <w:outlineLvl w:val="0"/>
        <w:rPr>
          <w:b/>
          <w:sz w:val="24"/>
          <w:szCs w:val="24"/>
          <w:lang w:val="lv-LV"/>
        </w:rPr>
      </w:pPr>
      <w:r w:rsidRPr="004301A8">
        <w:rPr>
          <w:rFonts w:eastAsia="Calibri"/>
          <w:b/>
          <w:sz w:val="24"/>
          <w:szCs w:val="24"/>
          <w:lang w:val="lv-LV"/>
        </w:rPr>
        <w:t xml:space="preserve">Par grozījumiem 2025. gada 30. septembra </w:t>
      </w:r>
      <w:r w:rsidRPr="004301A8">
        <w:rPr>
          <w:rFonts w:cs="Times New Roman"/>
          <w:b/>
          <w:sz w:val="24"/>
          <w:szCs w:val="24"/>
          <w:lang w:val="lv-LV"/>
        </w:rPr>
        <w:t>Sabiedrisko elektronisko plašsaziņas līdzekļu padomes lēmumā Nr. 43/1-1</w:t>
      </w:r>
      <w:r w:rsidRPr="004301A8">
        <w:rPr>
          <w:rFonts w:eastAsia="Calibri"/>
          <w:b/>
          <w:sz w:val="24"/>
          <w:szCs w:val="24"/>
          <w:lang w:val="lv-LV"/>
        </w:rPr>
        <w:t xml:space="preserve"> “Par VSIA “Latvijas Sabiedriskais medijs” vidēja termiņa darbības stratēģijas 2026.-2029. gadam īstenošanas periodā sasniedzamajām sabiedriskā labuma mērķu vērtībām, sabiedriskā pasūtījuma 2026. gada plānā īstenojamiem uzdevumiem un plānu nefinanšu mērķu izpildei un darbības virzienu sasniedzamo rezultātu sasniegšanai stratēģijas izpildei 2026. gadā”</w:t>
      </w:r>
    </w:p>
    <w:p w14:paraId="1ACD3FDC" w14:textId="4295FBC0" w:rsidR="00874E3E" w:rsidRPr="004301A8" w:rsidRDefault="00874E3E" w:rsidP="00C72619">
      <w:pPr>
        <w:jc w:val="center"/>
        <w:rPr>
          <w:lang w:val="lv-LV"/>
        </w:rPr>
      </w:pPr>
    </w:p>
    <w:p w14:paraId="197A3B2B" w14:textId="77777777" w:rsidR="004301A8" w:rsidRPr="004301A8" w:rsidRDefault="004301A8" w:rsidP="004301A8">
      <w:pPr>
        <w:ind w:firstLine="720"/>
        <w:jc w:val="both"/>
        <w:rPr>
          <w:rFonts w:cs="Times New Roman"/>
          <w:sz w:val="24"/>
          <w:szCs w:val="24"/>
          <w:lang w:val="lv-LV"/>
        </w:rPr>
      </w:pPr>
      <w:r w:rsidRPr="004301A8">
        <w:rPr>
          <w:rFonts w:cs="Times New Roman"/>
          <w:sz w:val="24"/>
          <w:szCs w:val="24"/>
          <w:lang w:val="lv-LV"/>
        </w:rPr>
        <w:t xml:space="preserve">Sabiedrisko elektronisko plašsaziņas līdzekļu padome (turpmāk – Padome), pamatojoties uz Sabiedrisko elektronisko plašsaziņas līdzekļu un to pārvaldības likuma (turpmāk – SEPLPL) 9. pantu, 10. panta pirmās daļas 1. punktu, 11. pantu, Latvijas Sabiedriskā medija pārvaldības, finansēšanas un sabiedriskā pasūtījuma īstenošanas kārtības 16. punktu, ņemot vērā 2026. gada 14. maija Padomes sēdē konceptuāli atbalstītos grozījumus valsts kapitāla daļu turētāja gaidu vēstulē vidēja termiņa darbības plānošanas periodam no 2026. līdz 2029. gadam, </w:t>
      </w:r>
    </w:p>
    <w:p w14:paraId="013CA868" w14:textId="77777777" w:rsidR="004301A8" w:rsidRPr="004301A8" w:rsidRDefault="004301A8" w:rsidP="004301A8">
      <w:pPr>
        <w:jc w:val="center"/>
        <w:rPr>
          <w:rFonts w:cs="Times New Roman"/>
          <w:sz w:val="24"/>
          <w:szCs w:val="24"/>
          <w:lang w:val="lv-LV"/>
        </w:rPr>
      </w:pPr>
    </w:p>
    <w:p w14:paraId="0F1551B6" w14:textId="77777777" w:rsidR="004301A8" w:rsidRPr="004301A8" w:rsidRDefault="004301A8" w:rsidP="004301A8">
      <w:pPr>
        <w:jc w:val="center"/>
        <w:rPr>
          <w:rFonts w:cs="Times New Roman"/>
          <w:b/>
          <w:bCs/>
          <w:sz w:val="24"/>
          <w:szCs w:val="24"/>
          <w:lang w:val="lv-LV"/>
        </w:rPr>
      </w:pPr>
      <w:r w:rsidRPr="004301A8">
        <w:rPr>
          <w:rFonts w:cs="Times New Roman"/>
          <w:b/>
          <w:bCs/>
          <w:sz w:val="24"/>
          <w:szCs w:val="24"/>
          <w:lang w:val="lv-LV"/>
        </w:rPr>
        <w:t>nolemj:</w:t>
      </w:r>
    </w:p>
    <w:p w14:paraId="10E76E2C" w14:textId="77777777" w:rsidR="004301A8" w:rsidRPr="004301A8" w:rsidRDefault="004301A8" w:rsidP="00C72619">
      <w:pPr>
        <w:jc w:val="center"/>
        <w:rPr>
          <w:lang w:val="lv-LV"/>
        </w:rPr>
      </w:pPr>
    </w:p>
    <w:p w14:paraId="32BA01E6" w14:textId="77777777" w:rsidR="004301A8" w:rsidRPr="004301A8" w:rsidRDefault="004301A8" w:rsidP="004301A8">
      <w:pPr>
        <w:pStyle w:val="ListParagraph"/>
        <w:numPr>
          <w:ilvl w:val="0"/>
          <w:numId w:val="1"/>
        </w:numPr>
        <w:contextualSpacing/>
        <w:jc w:val="both"/>
        <w:rPr>
          <w:rFonts w:cs="Times New Roman"/>
          <w:sz w:val="24"/>
          <w:szCs w:val="24"/>
          <w:lang w:val="lv-LV"/>
        </w:rPr>
      </w:pPr>
      <w:r w:rsidRPr="004301A8">
        <w:rPr>
          <w:rFonts w:cs="Times New Roman"/>
          <w:sz w:val="24"/>
          <w:szCs w:val="24"/>
          <w:lang w:val="lv-LV"/>
        </w:rPr>
        <w:t xml:space="preserve">Grozīt </w:t>
      </w:r>
      <w:r w:rsidRPr="004301A8">
        <w:rPr>
          <w:rFonts w:eastAsia="Calibri" w:cs="Times New Roman"/>
          <w:bCs/>
          <w:sz w:val="24"/>
          <w:szCs w:val="24"/>
          <w:lang w:val="lv-LV"/>
        </w:rPr>
        <w:t xml:space="preserve">2025. gada 30. septembra </w:t>
      </w:r>
      <w:r w:rsidRPr="004301A8">
        <w:rPr>
          <w:rFonts w:cs="Times New Roman"/>
          <w:bCs/>
          <w:sz w:val="24"/>
          <w:szCs w:val="24"/>
          <w:lang w:val="lv-LV"/>
        </w:rPr>
        <w:t>Padomes lēmuma Nr. 43/1-1</w:t>
      </w:r>
      <w:r w:rsidRPr="004301A8">
        <w:rPr>
          <w:rFonts w:eastAsia="Calibri" w:cs="Times New Roman"/>
          <w:b/>
          <w:sz w:val="24"/>
          <w:szCs w:val="24"/>
          <w:lang w:val="lv-LV"/>
        </w:rPr>
        <w:t xml:space="preserve"> </w:t>
      </w:r>
      <w:r w:rsidRPr="004301A8">
        <w:rPr>
          <w:rFonts w:eastAsia="Calibri" w:cs="Times New Roman"/>
          <w:bCs/>
          <w:sz w:val="24"/>
          <w:szCs w:val="24"/>
          <w:lang w:val="lv-LV"/>
        </w:rPr>
        <w:t xml:space="preserve">1. punktā noteiktās </w:t>
      </w:r>
      <w:r w:rsidRPr="004301A8">
        <w:rPr>
          <w:rFonts w:cs="Times New Roman"/>
          <w:sz w:val="24"/>
          <w:szCs w:val="24"/>
          <w:lang w:val="lv-LV"/>
        </w:rPr>
        <w:t>VSIA “Latvijas Sabiedriskais medijs” (turpmāk – LSM) vidēja termiņa darbības stratēģijas 2026.-2029. gadam īstenošanas periodā sasniedzamās sabiedriskā labuma mērķu vērtības un izteikt šādā redakcijā:</w:t>
      </w:r>
    </w:p>
    <w:p w14:paraId="24E7AD7F" w14:textId="3B1CC3A0" w:rsidR="004301A8" w:rsidRPr="004301A8" w:rsidRDefault="004301A8" w:rsidP="004301A8">
      <w:pPr>
        <w:pStyle w:val="ListParagraph"/>
        <w:jc w:val="both"/>
        <w:rPr>
          <w:rFonts w:cs="Times New Roman"/>
          <w:lang w:val="lv-LV"/>
        </w:rPr>
      </w:pPr>
      <w:r>
        <w:rPr>
          <w:rFonts w:cs="Times New Roman"/>
          <w:lang w:val="lv-LV"/>
        </w:rPr>
        <w:t xml:space="preserve">              </w:t>
      </w:r>
      <w:r w:rsidRPr="004301A8">
        <w:rPr>
          <w:rFonts w:cs="Times New Roman"/>
          <w:lang w:val="lv-LV"/>
        </w:rPr>
        <w:t>“</w:t>
      </w:r>
    </w:p>
    <w:tbl>
      <w:tblPr>
        <w:tblStyle w:val="TableGrid"/>
        <w:tblW w:w="0" w:type="auto"/>
        <w:jc w:val="center"/>
        <w:tblLook w:val="04A0" w:firstRow="1" w:lastRow="0" w:firstColumn="1" w:lastColumn="0" w:noHBand="0" w:noVBand="1"/>
      </w:tblPr>
      <w:tblGrid>
        <w:gridCol w:w="3448"/>
        <w:gridCol w:w="942"/>
        <w:gridCol w:w="992"/>
        <w:gridCol w:w="992"/>
        <w:gridCol w:w="992"/>
        <w:gridCol w:w="930"/>
      </w:tblGrid>
      <w:tr w:rsidR="004301A8" w:rsidRPr="004301A8" w14:paraId="387A3E83" w14:textId="77777777" w:rsidTr="0056782F">
        <w:trPr>
          <w:jc w:val="center"/>
        </w:trPr>
        <w:tc>
          <w:tcPr>
            <w:tcW w:w="3448" w:type="dxa"/>
            <w:shd w:val="clear" w:color="auto" w:fill="C00000"/>
          </w:tcPr>
          <w:p w14:paraId="66F7ABEA" w14:textId="77777777" w:rsidR="004301A8" w:rsidRPr="004301A8" w:rsidRDefault="004301A8" w:rsidP="0056782F">
            <w:pPr>
              <w:jc w:val="center"/>
              <w:rPr>
                <w:rFonts w:cs="Times New Roman"/>
                <w:b/>
                <w:bCs/>
                <w:szCs w:val="20"/>
              </w:rPr>
            </w:pPr>
          </w:p>
        </w:tc>
        <w:tc>
          <w:tcPr>
            <w:tcW w:w="942" w:type="dxa"/>
            <w:shd w:val="clear" w:color="auto" w:fill="C00000"/>
          </w:tcPr>
          <w:p w14:paraId="468B147D" w14:textId="77777777" w:rsidR="004301A8" w:rsidRPr="004301A8" w:rsidRDefault="004301A8" w:rsidP="0056782F">
            <w:pPr>
              <w:jc w:val="center"/>
              <w:rPr>
                <w:rFonts w:cs="Times New Roman"/>
                <w:b/>
                <w:bCs/>
                <w:szCs w:val="20"/>
              </w:rPr>
            </w:pPr>
            <w:r w:rsidRPr="004301A8">
              <w:rPr>
                <w:rFonts w:cs="Times New Roman"/>
                <w:b/>
                <w:bCs/>
                <w:szCs w:val="20"/>
              </w:rPr>
              <w:t>Bāzes vērtība (2025)</w:t>
            </w:r>
          </w:p>
        </w:tc>
        <w:tc>
          <w:tcPr>
            <w:tcW w:w="992" w:type="dxa"/>
            <w:shd w:val="clear" w:color="auto" w:fill="C00000"/>
          </w:tcPr>
          <w:p w14:paraId="609DC923" w14:textId="77777777" w:rsidR="004301A8" w:rsidRPr="004301A8" w:rsidRDefault="004301A8" w:rsidP="0056782F">
            <w:pPr>
              <w:jc w:val="center"/>
              <w:rPr>
                <w:rFonts w:cs="Times New Roman"/>
                <w:b/>
                <w:bCs/>
                <w:szCs w:val="20"/>
              </w:rPr>
            </w:pPr>
            <w:r w:rsidRPr="004301A8">
              <w:rPr>
                <w:rFonts w:cs="Times New Roman"/>
                <w:b/>
                <w:bCs/>
                <w:szCs w:val="20"/>
              </w:rPr>
              <w:t>Mērķa vērtība</w:t>
            </w:r>
          </w:p>
          <w:p w14:paraId="203A39BB" w14:textId="77777777" w:rsidR="004301A8" w:rsidRPr="004301A8" w:rsidRDefault="004301A8" w:rsidP="0056782F">
            <w:pPr>
              <w:jc w:val="center"/>
              <w:rPr>
                <w:rFonts w:cs="Times New Roman"/>
                <w:b/>
                <w:bCs/>
                <w:szCs w:val="20"/>
              </w:rPr>
            </w:pPr>
            <w:r w:rsidRPr="004301A8">
              <w:rPr>
                <w:rFonts w:cs="Times New Roman"/>
                <w:b/>
                <w:bCs/>
                <w:szCs w:val="20"/>
              </w:rPr>
              <w:t>2026</w:t>
            </w:r>
          </w:p>
        </w:tc>
        <w:tc>
          <w:tcPr>
            <w:tcW w:w="992" w:type="dxa"/>
            <w:shd w:val="clear" w:color="auto" w:fill="C00000"/>
          </w:tcPr>
          <w:p w14:paraId="74C571A1" w14:textId="77777777" w:rsidR="004301A8" w:rsidRPr="004301A8" w:rsidRDefault="004301A8" w:rsidP="0056782F">
            <w:pPr>
              <w:jc w:val="center"/>
              <w:rPr>
                <w:rFonts w:cs="Times New Roman"/>
                <w:b/>
                <w:bCs/>
                <w:szCs w:val="20"/>
              </w:rPr>
            </w:pPr>
            <w:r w:rsidRPr="004301A8">
              <w:rPr>
                <w:rFonts w:cs="Times New Roman"/>
                <w:b/>
                <w:bCs/>
                <w:szCs w:val="20"/>
              </w:rPr>
              <w:t>Mērķa vērtība</w:t>
            </w:r>
          </w:p>
          <w:p w14:paraId="55A51E41" w14:textId="77777777" w:rsidR="004301A8" w:rsidRPr="004301A8" w:rsidRDefault="004301A8" w:rsidP="0056782F">
            <w:pPr>
              <w:jc w:val="center"/>
              <w:rPr>
                <w:rFonts w:cs="Times New Roman"/>
                <w:b/>
                <w:bCs/>
                <w:szCs w:val="20"/>
              </w:rPr>
            </w:pPr>
            <w:r w:rsidRPr="004301A8">
              <w:rPr>
                <w:rFonts w:cs="Times New Roman"/>
                <w:b/>
                <w:bCs/>
                <w:szCs w:val="20"/>
              </w:rPr>
              <w:t>2027</w:t>
            </w:r>
          </w:p>
        </w:tc>
        <w:tc>
          <w:tcPr>
            <w:tcW w:w="992" w:type="dxa"/>
            <w:shd w:val="clear" w:color="auto" w:fill="C00000"/>
          </w:tcPr>
          <w:p w14:paraId="3A868BB0" w14:textId="77777777" w:rsidR="004301A8" w:rsidRPr="004301A8" w:rsidRDefault="004301A8" w:rsidP="0056782F">
            <w:pPr>
              <w:jc w:val="center"/>
              <w:rPr>
                <w:rFonts w:cs="Times New Roman"/>
                <w:b/>
                <w:bCs/>
                <w:szCs w:val="20"/>
              </w:rPr>
            </w:pPr>
            <w:r w:rsidRPr="004301A8">
              <w:rPr>
                <w:rFonts w:cs="Times New Roman"/>
                <w:b/>
                <w:bCs/>
                <w:szCs w:val="20"/>
              </w:rPr>
              <w:t>Mērķa vērtība</w:t>
            </w:r>
          </w:p>
          <w:p w14:paraId="56A9C43D" w14:textId="77777777" w:rsidR="004301A8" w:rsidRPr="004301A8" w:rsidRDefault="004301A8" w:rsidP="0056782F">
            <w:pPr>
              <w:jc w:val="center"/>
              <w:rPr>
                <w:rFonts w:cs="Times New Roman"/>
                <w:b/>
                <w:bCs/>
                <w:szCs w:val="20"/>
              </w:rPr>
            </w:pPr>
            <w:r w:rsidRPr="004301A8">
              <w:rPr>
                <w:rFonts w:cs="Times New Roman"/>
                <w:b/>
                <w:bCs/>
                <w:szCs w:val="20"/>
              </w:rPr>
              <w:t>2028</w:t>
            </w:r>
          </w:p>
        </w:tc>
        <w:tc>
          <w:tcPr>
            <w:tcW w:w="930" w:type="dxa"/>
            <w:shd w:val="clear" w:color="auto" w:fill="C00000"/>
          </w:tcPr>
          <w:p w14:paraId="49DA482D" w14:textId="77777777" w:rsidR="004301A8" w:rsidRPr="004301A8" w:rsidRDefault="004301A8" w:rsidP="0056782F">
            <w:pPr>
              <w:jc w:val="center"/>
              <w:rPr>
                <w:rFonts w:cs="Times New Roman"/>
                <w:b/>
                <w:bCs/>
                <w:szCs w:val="20"/>
              </w:rPr>
            </w:pPr>
            <w:r w:rsidRPr="004301A8">
              <w:rPr>
                <w:rFonts w:cs="Times New Roman"/>
                <w:b/>
                <w:bCs/>
                <w:szCs w:val="20"/>
              </w:rPr>
              <w:t>Mērķa vērtība</w:t>
            </w:r>
          </w:p>
          <w:p w14:paraId="560FD564" w14:textId="77777777" w:rsidR="004301A8" w:rsidRPr="004301A8" w:rsidRDefault="004301A8" w:rsidP="0056782F">
            <w:pPr>
              <w:jc w:val="center"/>
              <w:rPr>
                <w:rFonts w:cs="Times New Roman"/>
                <w:b/>
                <w:bCs/>
                <w:szCs w:val="20"/>
              </w:rPr>
            </w:pPr>
            <w:r w:rsidRPr="004301A8">
              <w:rPr>
                <w:rFonts w:cs="Times New Roman"/>
                <w:b/>
                <w:bCs/>
                <w:szCs w:val="20"/>
              </w:rPr>
              <w:t>2029</w:t>
            </w:r>
          </w:p>
        </w:tc>
      </w:tr>
      <w:tr w:rsidR="004301A8" w:rsidRPr="004301A8" w14:paraId="47F6B6A8" w14:textId="77777777" w:rsidTr="0056782F">
        <w:trPr>
          <w:jc w:val="center"/>
        </w:trPr>
        <w:tc>
          <w:tcPr>
            <w:tcW w:w="3448" w:type="dxa"/>
            <w:shd w:val="clear" w:color="auto" w:fill="C00000"/>
          </w:tcPr>
          <w:p w14:paraId="44BCF19E" w14:textId="77777777" w:rsidR="004301A8" w:rsidRPr="004301A8" w:rsidRDefault="004301A8" w:rsidP="0056782F">
            <w:pPr>
              <w:rPr>
                <w:rFonts w:cs="Times New Roman"/>
                <w:b/>
                <w:bCs/>
                <w:szCs w:val="20"/>
              </w:rPr>
            </w:pPr>
            <w:r w:rsidRPr="004301A8">
              <w:rPr>
                <w:rFonts w:cs="Times New Roman"/>
                <w:b/>
                <w:bCs/>
                <w:szCs w:val="20"/>
              </w:rPr>
              <w:t>Sasniedzamība (LSM kopējā nedēļā)</w:t>
            </w:r>
          </w:p>
          <w:p w14:paraId="1F8E25EC" w14:textId="77777777" w:rsidR="004301A8" w:rsidRPr="004301A8" w:rsidRDefault="004301A8" w:rsidP="0056782F">
            <w:pPr>
              <w:rPr>
                <w:rFonts w:cs="Times New Roman"/>
                <w:b/>
                <w:bCs/>
                <w:szCs w:val="20"/>
              </w:rPr>
            </w:pPr>
          </w:p>
        </w:tc>
        <w:tc>
          <w:tcPr>
            <w:tcW w:w="942" w:type="dxa"/>
          </w:tcPr>
          <w:p w14:paraId="2B519B50" w14:textId="77777777" w:rsidR="004301A8" w:rsidRPr="004301A8" w:rsidRDefault="004301A8" w:rsidP="0056782F">
            <w:pPr>
              <w:jc w:val="center"/>
              <w:rPr>
                <w:rFonts w:cs="Times New Roman"/>
                <w:szCs w:val="20"/>
              </w:rPr>
            </w:pPr>
            <w:r w:rsidRPr="004301A8">
              <w:rPr>
                <w:rFonts w:cs="Times New Roman"/>
                <w:szCs w:val="20"/>
              </w:rPr>
              <w:t>74%</w:t>
            </w:r>
          </w:p>
        </w:tc>
        <w:tc>
          <w:tcPr>
            <w:tcW w:w="992" w:type="dxa"/>
          </w:tcPr>
          <w:p w14:paraId="74C017F6" w14:textId="77777777" w:rsidR="004301A8" w:rsidRPr="004301A8" w:rsidRDefault="004301A8" w:rsidP="0056782F">
            <w:pPr>
              <w:jc w:val="center"/>
              <w:rPr>
                <w:rFonts w:cs="Times New Roman"/>
                <w:szCs w:val="20"/>
              </w:rPr>
            </w:pPr>
            <w:r w:rsidRPr="004301A8">
              <w:rPr>
                <w:rFonts w:cs="Times New Roman"/>
                <w:szCs w:val="20"/>
              </w:rPr>
              <w:t>75%</w:t>
            </w:r>
          </w:p>
        </w:tc>
        <w:tc>
          <w:tcPr>
            <w:tcW w:w="992" w:type="dxa"/>
          </w:tcPr>
          <w:p w14:paraId="086438A6" w14:textId="77777777" w:rsidR="004301A8" w:rsidRPr="004301A8" w:rsidRDefault="004301A8" w:rsidP="0056782F">
            <w:pPr>
              <w:jc w:val="center"/>
              <w:rPr>
                <w:rFonts w:cs="Times New Roman"/>
                <w:szCs w:val="20"/>
              </w:rPr>
            </w:pPr>
            <w:r w:rsidRPr="004301A8">
              <w:rPr>
                <w:rFonts w:cs="Times New Roman"/>
                <w:szCs w:val="20"/>
              </w:rPr>
              <w:t>76%</w:t>
            </w:r>
          </w:p>
        </w:tc>
        <w:tc>
          <w:tcPr>
            <w:tcW w:w="992" w:type="dxa"/>
          </w:tcPr>
          <w:p w14:paraId="07DDEA96" w14:textId="77777777" w:rsidR="004301A8" w:rsidRPr="004301A8" w:rsidRDefault="004301A8" w:rsidP="0056782F">
            <w:pPr>
              <w:jc w:val="center"/>
              <w:rPr>
                <w:rFonts w:cs="Times New Roman"/>
                <w:szCs w:val="20"/>
              </w:rPr>
            </w:pPr>
            <w:r w:rsidRPr="004301A8">
              <w:rPr>
                <w:rFonts w:cs="Times New Roman"/>
                <w:szCs w:val="20"/>
              </w:rPr>
              <w:t>78%</w:t>
            </w:r>
          </w:p>
        </w:tc>
        <w:tc>
          <w:tcPr>
            <w:tcW w:w="930" w:type="dxa"/>
          </w:tcPr>
          <w:p w14:paraId="677D2B65" w14:textId="77777777" w:rsidR="004301A8" w:rsidRPr="004301A8" w:rsidRDefault="004301A8" w:rsidP="0056782F">
            <w:pPr>
              <w:jc w:val="center"/>
              <w:rPr>
                <w:rFonts w:cs="Times New Roman"/>
                <w:szCs w:val="20"/>
              </w:rPr>
            </w:pPr>
            <w:r w:rsidRPr="004301A8">
              <w:rPr>
                <w:rFonts w:cs="Times New Roman"/>
                <w:szCs w:val="20"/>
              </w:rPr>
              <w:t>79%</w:t>
            </w:r>
          </w:p>
        </w:tc>
      </w:tr>
      <w:tr w:rsidR="004301A8" w:rsidRPr="004301A8" w14:paraId="410247C5" w14:textId="77777777" w:rsidTr="0056782F">
        <w:trPr>
          <w:jc w:val="center"/>
        </w:trPr>
        <w:tc>
          <w:tcPr>
            <w:tcW w:w="3448" w:type="dxa"/>
            <w:shd w:val="clear" w:color="auto" w:fill="C00000"/>
          </w:tcPr>
          <w:p w14:paraId="5ECA1343" w14:textId="77777777" w:rsidR="004301A8" w:rsidRPr="004301A8" w:rsidRDefault="004301A8" w:rsidP="0056782F">
            <w:pPr>
              <w:rPr>
                <w:rFonts w:cs="Times New Roman"/>
                <w:b/>
                <w:bCs/>
                <w:szCs w:val="20"/>
              </w:rPr>
            </w:pPr>
            <w:r w:rsidRPr="004301A8">
              <w:rPr>
                <w:rFonts w:cs="Times New Roman"/>
                <w:b/>
                <w:bCs/>
                <w:szCs w:val="20"/>
              </w:rPr>
              <w:t>Kvalitāte (LSM piedāvā kvalitatīvu saturu)</w:t>
            </w:r>
          </w:p>
          <w:p w14:paraId="0951CF14" w14:textId="77777777" w:rsidR="004301A8" w:rsidRPr="004301A8" w:rsidRDefault="004301A8" w:rsidP="0056782F">
            <w:pPr>
              <w:rPr>
                <w:rFonts w:cs="Times New Roman"/>
                <w:b/>
                <w:bCs/>
                <w:szCs w:val="20"/>
              </w:rPr>
            </w:pPr>
          </w:p>
        </w:tc>
        <w:tc>
          <w:tcPr>
            <w:tcW w:w="942" w:type="dxa"/>
          </w:tcPr>
          <w:p w14:paraId="2281EEA9" w14:textId="77777777" w:rsidR="004301A8" w:rsidRPr="004301A8" w:rsidRDefault="004301A8" w:rsidP="0056782F">
            <w:pPr>
              <w:jc w:val="center"/>
              <w:rPr>
                <w:rFonts w:cs="Times New Roman"/>
                <w:szCs w:val="20"/>
              </w:rPr>
            </w:pPr>
            <w:r w:rsidRPr="004301A8">
              <w:rPr>
                <w:rFonts w:cs="Times New Roman"/>
                <w:szCs w:val="20"/>
              </w:rPr>
              <w:t>51%</w:t>
            </w:r>
          </w:p>
        </w:tc>
        <w:tc>
          <w:tcPr>
            <w:tcW w:w="992" w:type="dxa"/>
          </w:tcPr>
          <w:p w14:paraId="6DAD8C4E" w14:textId="77777777" w:rsidR="004301A8" w:rsidRPr="004301A8" w:rsidRDefault="004301A8" w:rsidP="0056782F">
            <w:pPr>
              <w:jc w:val="center"/>
              <w:rPr>
                <w:rFonts w:cs="Times New Roman"/>
                <w:szCs w:val="20"/>
              </w:rPr>
            </w:pPr>
            <w:r w:rsidRPr="004301A8">
              <w:rPr>
                <w:rFonts w:cs="Times New Roman"/>
                <w:szCs w:val="20"/>
              </w:rPr>
              <w:t>54%</w:t>
            </w:r>
          </w:p>
        </w:tc>
        <w:tc>
          <w:tcPr>
            <w:tcW w:w="992" w:type="dxa"/>
          </w:tcPr>
          <w:p w14:paraId="35EC6E0B" w14:textId="77777777" w:rsidR="004301A8" w:rsidRPr="004301A8" w:rsidRDefault="004301A8" w:rsidP="0056782F">
            <w:pPr>
              <w:jc w:val="center"/>
              <w:rPr>
                <w:rFonts w:cs="Times New Roman"/>
                <w:szCs w:val="20"/>
              </w:rPr>
            </w:pPr>
            <w:r w:rsidRPr="004301A8">
              <w:rPr>
                <w:rFonts w:cs="Times New Roman"/>
                <w:szCs w:val="20"/>
              </w:rPr>
              <w:t>55%</w:t>
            </w:r>
          </w:p>
        </w:tc>
        <w:tc>
          <w:tcPr>
            <w:tcW w:w="992" w:type="dxa"/>
          </w:tcPr>
          <w:p w14:paraId="4A467071" w14:textId="77777777" w:rsidR="004301A8" w:rsidRPr="004301A8" w:rsidRDefault="004301A8" w:rsidP="0056782F">
            <w:pPr>
              <w:jc w:val="center"/>
              <w:rPr>
                <w:rFonts w:cs="Times New Roman"/>
                <w:szCs w:val="20"/>
              </w:rPr>
            </w:pPr>
            <w:r w:rsidRPr="004301A8">
              <w:rPr>
                <w:rFonts w:cs="Times New Roman"/>
                <w:szCs w:val="20"/>
              </w:rPr>
              <w:t>56%</w:t>
            </w:r>
          </w:p>
        </w:tc>
        <w:tc>
          <w:tcPr>
            <w:tcW w:w="930" w:type="dxa"/>
          </w:tcPr>
          <w:p w14:paraId="0B546DBB" w14:textId="77777777" w:rsidR="004301A8" w:rsidRPr="004301A8" w:rsidRDefault="004301A8" w:rsidP="0056782F">
            <w:pPr>
              <w:jc w:val="center"/>
              <w:rPr>
                <w:rFonts w:cs="Times New Roman"/>
                <w:szCs w:val="20"/>
              </w:rPr>
            </w:pPr>
            <w:r w:rsidRPr="004301A8">
              <w:rPr>
                <w:rFonts w:cs="Times New Roman"/>
                <w:szCs w:val="20"/>
              </w:rPr>
              <w:t>57%</w:t>
            </w:r>
          </w:p>
        </w:tc>
      </w:tr>
      <w:tr w:rsidR="004301A8" w:rsidRPr="004301A8" w14:paraId="3090B82F" w14:textId="77777777" w:rsidTr="0056782F">
        <w:trPr>
          <w:trHeight w:val="504"/>
          <w:jc w:val="center"/>
        </w:trPr>
        <w:tc>
          <w:tcPr>
            <w:tcW w:w="3448" w:type="dxa"/>
            <w:shd w:val="clear" w:color="auto" w:fill="C00000"/>
          </w:tcPr>
          <w:p w14:paraId="0F882A2F" w14:textId="77777777" w:rsidR="004301A8" w:rsidRPr="004301A8" w:rsidRDefault="004301A8" w:rsidP="0056782F">
            <w:pPr>
              <w:rPr>
                <w:rFonts w:cs="Times New Roman"/>
                <w:b/>
                <w:bCs/>
                <w:szCs w:val="20"/>
              </w:rPr>
            </w:pPr>
            <w:r w:rsidRPr="004301A8">
              <w:rPr>
                <w:rFonts w:cs="Times New Roman"/>
                <w:b/>
                <w:bCs/>
                <w:szCs w:val="20"/>
              </w:rPr>
              <w:t>Uzticēšanās LSM (Cik lielā mērā jūs uzticaties LSM)</w:t>
            </w:r>
          </w:p>
          <w:p w14:paraId="75C709D7" w14:textId="77777777" w:rsidR="004301A8" w:rsidRPr="004301A8" w:rsidRDefault="004301A8" w:rsidP="0056782F">
            <w:pPr>
              <w:rPr>
                <w:rFonts w:cs="Times New Roman"/>
                <w:b/>
                <w:bCs/>
                <w:szCs w:val="20"/>
              </w:rPr>
            </w:pPr>
          </w:p>
        </w:tc>
        <w:tc>
          <w:tcPr>
            <w:tcW w:w="942" w:type="dxa"/>
          </w:tcPr>
          <w:p w14:paraId="6FD162DB" w14:textId="77777777" w:rsidR="004301A8" w:rsidRPr="004301A8" w:rsidRDefault="004301A8" w:rsidP="0056782F">
            <w:pPr>
              <w:jc w:val="center"/>
              <w:rPr>
                <w:rFonts w:cs="Times New Roman"/>
                <w:szCs w:val="20"/>
              </w:rPr>
            </w:pPr>
            <w:r w:rsidRPr="004301A8">
              <w:rPr>
                <w:rFonts w:cs="Times New Roman"/>
                <w:szCs w:val="20"/>
              </w:rPr>
              <w:t>47%</w:t>
            </w:r>
          </w:p>
        </w:tc>
        <w:tc>
          <w:tcPr>
            <w:tcW w:w="992" w:type="dxa"/>
          </w:tcPr>
          <w:p w14:paraId="4ECA5F2C" w14:textId="77777777" w:rsidR="004301A8" w:rsidRPr="004301A8" w:rsidRDefault="004301A8" w:rsidP="0056782F">
            <w:pPr>
              <w:jc w:val="center"/>
              <w:rPr>
                <w:rFonts w:cs="Times New Roman"/>
                <w:szCs w:val="20"/>
              </w:rPr>
            </w:pPr>
            <w:r w:rsidRPr="004301A8">
              <w:rPr>
                <w:rFonts w:cs="Times New Roman"/>
                <w:szCs w:val="20"/>
              </w:rPr>
              <w:t>52%</w:t>
            </w:r>
          </w:p>
        </w:tc>
        <w:tc>
          <w:tcPr>
            <w:tcW w:w="992" w:type="dxa"/>
          </w:tcPr>
          <w:p w14:paraId="44B1FF50" w14:textId="77777777" w:rsidR="004301A8" w:rsidRPr="004301A8" w:rsidRDefault="004301A8" w:rsidP="0056782F">
            <w:pPr>
              <w:jc w:val="center"/>
              <w:rPr>
                <w:rFonts w:cs="Times New Roman"/>
                <w:szCs w:val="20"/>
              </w:rPr>
            </w:pPr>
            <w:r w:rsidRPr="004301A8">
              <w:rPr>
                <w:rFonts w:cs="Times New Roman"/>
                <w:szCs w:val="20"/>
              </w:rPr>
              <w:t>55%</w:t>
            </w:r>
          </w:p>
        </w:tc>
        <w:tc>
          <w:tcPr>
            <w:tcW w:w="992" w:type="dxa"/>
          </w:tcPr>
          <w:p w14:paraId="7B9C8237" w14:textId="77777777" w:rsidR="004301A8" w:rsidRPr="004301A8" w:rsidRDefault="004301A8" w:rsidP="0056782F">
            <w:pPr>
              <w:jc w:val="center"/>
              <w:rPr>
                <w:rFonts w:cs="Times New Roman"/>
                <w:szCs w:val="20"/>
              </w:rPr>
            </w:pPr>
            <w:r w:rsidRPr="004301A8">
              <w:rPr>
                <w:rFonts w:cs="Times New Roman"/>
                <w:szCs w:val="20"/>
              </w:rPr>
              <w:t>56%</w:t>
            </w:r>
          </w:p>
        </w:tc>
        <w:tc>
          <w:tcPr>
            <w:tcW w:w="930" w:type="dxa"/>
          </w:tcPr>
          <w:p w14:paraId="3E3C763C" w14:textId="77777777" w:rsidR="004301A8" w:rsidRPr="004301A8" w:rsidRDefault="004301A8" w:rsidP="0056782F">
            <w:pPr>
              <w:jc w:val="center"/>
              <w:rPr>
                <w:rFonts w:cs="Times New Roman"/>
                <w:szCs w:val="20"/>
              </w:rPr>
            </w:pPr>
            <w:r w:rsidRPr="004301A8">
              <w:rPr>
                <w:rFonts w:cs="Times New Roman"/>
                <w:szCs w:val="20"/>
              </w:rPr>
              <w:t>57%</w:t>
            </w:r>
          </w:p>
        </w:tc>
      </w:tr>
      <w:tr w:rsidR="004301A8" w:rsidRPr="004301A8" w14:paraId="31500D10" w14:textId="77777777" w:rsidTr="0056782F">
        <w:trPr>
          <w:jc w:val="center"/>
        </w:trPr>
        <w:tc>
          <w:tcPr>
            <w:tcW w:w="3448" w:type="dxa"/>
            <w:shd w:val="clear" w:color="auto" w:fill="C00000"/>
          </w:tcPr>
          <w:p w14:paraId="3AF6BB7E" w14:textId="77777777" w:rsidR="004301A8" w:rsidRPr="004301A8" w:rsidRDefault="004301A8" w:rsidP="0056782F">
            <w:pPr>
              <w:rPr>
                <w:rFonts w:cs="Times New Roman"/>
                <w:b/>
                <w:bCs/>
                <w:szCs w:val="20"/>
              </w:rPr>
            </w:pPr>
            <w:r w:rsidRPr="004301A8">
              <w:rPr>
                <w:rFonts w:cs="Times New Roman"/>
                <w:b/>
                <w:bCs/>
                <w:szCs w:val="20"/>
              </w:rPr>
              <w:t>LSM stiprina manu piederības sajūtu Latvijai</w:t>
            </w:r>
          </w:p>
          <w:p w14:paraId="26839124" w14:textId="77777777" w:rsidR="004301A8" w:rsidRPr="004301A8" w:rsidRDefault="004301A8" w:rsidP="0056782F">
            <w:pPr>
              <w:rPr>
                <w:rFonts w:cs="Times New Roman"/>
                <w:b/>
                <w:bCs/>
                <w:szCs w:val="20"/>
              </w:rPr>
            </w:pPr>
          </w:p>
        </w:tc>
        <w:tc>
          <w:tcPr>
            <w:tcW w:w="942" w:type="dxa"/>
          </w:tcPr>
          <w:p w14:paraId="2063C6AE" w14:textId="77777777" w:rsidR="004301A8" w:rsidRPr="004301A8" w:rsidRDefault="004301A8" w:rsidP="0056782F">
            <w:pPr>
              <w:jc w:val="center"/>
              <w:rPr>
                <w:rFonts w:cs="Times New Roman"/>
                <w:szCs w:val="20"/>
              </w:rPr>
            </w:pPr>
            <w:r w:rsidRPr="004301A8">
              <w:rPr>
                <w:rFonts w:cs="Times New Roman"/>
                <w:szCs w:val="20"/>
              </w:rPr>
              <w:t>47%</w:t>
            </w:r>
          </w:p>
        </w:tc>
        <w:tc>
          <w:tcPr>
            <w:tcW w:w="992" w:type="dxa"/>
          </w:tcPr>
          <w:p w14:paraId="2EC9C852" w14:textId="77777777" w:rsidR="004301A8" w:rsidRPr="004301A8" w:rsidRDefault="004301A8" w:rsidP="0056782F">
            <w:pPr>
              <w:jc w:val="center"/>
              <w:rPr>
                <w:rFonts w:cs="Times New Roman"/>
                <w:szCs w:val="20"/>
              </w:rPr>
            </w:pPr>
            <w:r w:rsidRPr="004301A8">
              <w:rPr>
                <w:rFonts w:cs="Times New Roman"/>
                <w:szCs w:val="20"/>
              </w:rPr>
              <w:t>51%</w:t>
            </w:r>
          </w:p>
        </w:tc>
        <w:tc>
          <w:tcPr>
            <w:tcW w:w="992" w:type="dxa"/>
          </w:tcPr>
          <w:p w14:paraId="0E16B3BB" w14:textId="77777777" w:rsidR="004301A8" w:rsidRPr="004301A8" w:rsidRDefault="004301A8" w:rsidP="0056782F">
            <w:pPr>
              <w:jc w:val="center"/>
              <w:rPr>
                <w:rFonts w:cs="Times New Roman"/>
                <w:szCs w:val="20"/>
              </w:rPr>
            </w:pPr>
            <w:r w:rsidRPr="004301A8">
              <w:rPr>
                <w:rFonts w:cs="Times New Roman"/>
                <w:szCs w:val="20"/>
              </w:rPr>
              <w:t>53%</w:t>
            </w:r>
          </w:p>
        </w:tc>
        <w:tc>
          <w:tcPr>
            <w:tcW w:w="992" w:type="dxa"/>
          </w:tcPr>
          <w:p w14:paraId="17F9BA6B" w14:textId="77777777" w:rsidR="004301A8" w:rsidRPr="004301A8" w:rsidRDefault="004301A8" w:rsidP="0056782F">
            <w:pPr>
              <w:jc w:val="center"/>
              <w:rPr>
                <w:rFonts w:cs="Times New Roman"/>
                <w:szCs w:val="20"/>
              </w:rPr>
            </w:pPr>
            <w:r w:rsidRPr="004301A8">
              <w:rPr>
                <w:rFonts w:cs="Times New Roman"/>
                <w:szCs w:val="20"/>
              </w:rPr>
              <w:t>55%</w:t>
            </w:r>
          </w:p>
        </w:tc>
        <w:tc>
          <w:tcPr>
            <w:tcW w:w="930" w:type="dxa"/>
          </w:tcPr>
          <w:p w14:paraId="62715829" w14:textId="77777777" w:rsidR="004301A8" w:rsidRPr="004301A8" w:rsidRDefault="004301A8" w:rsidP="0056782F">
            <w:pPr>
              <w:jc w:val="center"/>
              <w:rPr>
                <w:rFonts w:cs="Times New Roman"/>
                <w:szCs w:val="20"/>
              </w:rPr>
            </w:pPr>
            <w:r w:rsidRPr="004301A8">
              <w:rPr>
                <w:rFonts w:cs="Times New Roman"/>
                <w:szCs w:val="20"/>
              </w:rPr>
              <w:t>57%</w:t>
            </w:r>
          </w:p>
        </w:tc>
      </w:tr>
      <w:tr w:rsidR="004301A8" w:rsidRPr="004301A8" w14:paraId="6CE2B9FC" w14:textId="77777777" w:rsidTr="0056782F">
        <w:trPr>
          <w:trHeight w:val="794"/>
          <w:jc w:val="center"/>
        </w:trPr>
        <w:tc>
          <w:tcPr>
            <w:tcW w:w="3448" w:type="dxa"/>
            <w:shd w:val="clear" w:color="auto" w:fill="C00000"/>
          </w:tcPr>
          <w:p w14:paraId="6711F56D" w14:textId="77777777" w:rsidR="004301A8" w:rsidRPr="004301A8" w:rsidRDefault="004301A8" w:rsidP="0056782F">
            <w:pPr>
              <w:rPr>
                <w:rFonts w:cs="Times New Roman"/>
                <w:b/>
                <w:bCs/>
                <w:szCs w:val="20"/>
              </w:rPr>
            </w:pPr>
            <w:r w:rsidRPr="004301A8">
              <w:rPr>
                <w:rFonts w:cs="Times New Roman"/>
                <w:b/>
                <w:bCs/>
                <w:szCs w:val="20"/>
              </w:rPr>
              <w:t>LSM ziņu un aktuālās informācijas raidījumos ataino dažādus viedokļus, arī tos, kuri atšķiras no mana</w:t>
            </w:r>
          </w:p>
        </w:tc>
        <w:tc>
          <w:tcPr>
            <w:tcW w:w="942" w:type="dxa"/>
          </w:tcPr>
          <w:p w14:paraId="370155E7" w14:textId="77777777" w:rsidR="004301A8" w:rsidRPr="004301A8" w:rsidRDefault="004301A8" w:rsidP="0056782F">
            <w:pPr>
              <w:jc w:val="center"/>
              <w:rPr>
                <w:rFonts w:cs="Times New Roman"/>
                <w:szCs w:val="20"/>
              </w:rPr>
            </w:pPr>
            <w:r w:rsidRPr="004301A8">
              <w:rPr>
                <w:rFonts w:cs="Times New Roman"/>
                <w:szCs w:val="20"/>
              </w:rPr>
              <w:t>50%</w:t>
            </w:r>
          </w:p>
        </w:tc>
        <w:tc>
          <w:tcPr>
            <w:tcW w:w="992" w:type="dxa"/>
          </w:tcPr>
          <w:p w14:paraId="494949B2" w14:textId="77777777" w:rsidR="004301A8" w:rsidRPr="004301A8" w:rsidRDefault="004301A8" w:rsidP="0056782F">
            <w:pPr>
              <w:jc w:val="center"/>
              <w:rPr>
                <w:rFonts w:cs="Times New Roman"/>
                <w:szCs w:val="20"/>
              </w:rPr>
            </w:pPr>
            <w:r w:rsidRPr="004301A8">
              <w:rPr>
                <w:rFonts w:cs="Times New Roman"/>
                <w:szCs w:val="20"/>
              </w:rPr>
              <w:t>56%</w:t>
            </w:r>
          </w:p>
        </w:tc>
        <w:tc>
          <w:tcPr>
            <w:tcW w:w="992" w:type="dxa"/>
          </w:tcPr>
          <w:p w14:paraId="1B9D1625" w14:textId="77777777" w:rsidR="004301A8" w:rsidRPr="004301A8" w:rsidRDefault="004301A8" w:rsidP="0056782F">
            <w:pPr>
              <w:jc w:val="center"/>
              <w:rPr>
                <w:rFonts w:cs="Times New Roman"/>
                <w:szCs w:val="20"/>
              </w:rPr>
            </w:pPr>
            <w:r w:rsidRPr="004301A8">
              <w:rPr>
                <w:rFonts w:cs="Times New Roman"/>
                <w:szCs w:val="20"/>
              </w:rPr>
              <w:t>58%</w:t>
            </w:r>
          </w:p>
        </w:tc>
        <w:tc>
          <w:tcPr>
            <w:tcW w:w="992" w:type="dxa"/>
          </w:tcPr>
          <w:p w14:paraId="7467532B" w14:textId="77777777" w:rsidR="004301A8" w:rsidRPr="004301A8" w:rsidRDefault="004301A8" w:rsidP="0056782F">
            <w:pPr>
              <w:jc w:val="center"/>
              <w:rPr>
                <w:rFonts w:cs="Times New Roman"/>
                <w:szCs w:val="20"/>
              </w:rPr>
            </w:pPr>
            <w:r w:rsidRPr="004301A8">
              <w:rPr>
                <w:rFonts w:cs="Times New Roman"/>
                <w:szCs w:val="20"/>
              </w:rPr>
              <w:t>60%</w:t>
            </w:r>
          </w:p>
        </w:tc>
        <w:tc>
          <w:tcPr>
            <w:tcW w:w="930" w:type="dxa"/>
          </w:tcPr>
          <w:p w14:paraId="3AEE8EA2" w14:textId="77777777" w:rsidR="004301A8" w:rsidRPr="004301A8" w:rsidRDefault="004301A8" w:rsidP="0056782F">
            <w:pPr>
              <w:jc w:val="center"/>
              <w:rPr>
                <w:rFonts w:cs="Times New Roman"/>
                <w:szCs w:val="20"/>
              </w:rPr>
            </w:pPr>
            <w:r w:rsidRPr="004301A8">
              <w:rPr>
                <w:rFonts w:cs="Times New Roman"/>
                <w:szCs w:val="20"/>
              </w:rPr>
              <w:t>62%</w:t>
            </w:r>
          </w:p>
        </w:tc>
      </w:tr>
      <w:tr w:rsidR="004301A8" w:rsidRPr="004301A8" w14:paraId="58B0AFE4" w14:textId="77777777" w:rsidTr="0056782F">
        <w:trPr>
          <w:jc w:val="center"/>
        </w:trPr>
        <w:tc>
          <w:tcPr>
            <w:tcW w:w="3448" w:type="dxa"/>
            <w:shd w:val="clear" w:color="auto" w:fill="C00000"/>
          </w:tcPr>
          <w:p w14:paraId="5105F048" w14:textId="77777777" w:rsidR="004301A8" w:rsidRPr="004301A8" w:rsidRDefault="004301A8" w:rsidP="0056782F">
            <w:pPr>
              <w:rPr>
                <w:rFonts w:cs="Times New Roman"/>
                <w:b/>
                <w:bCs/>
                <w:szCs w:val="20"/>
              </w:rPr>
            </w:pPr>
            <w:r w:rsidRPr="004301A8">
              <w:rPr>
                <w:rFonts w:cs="Times New Roman"/>
                <w:b/>
                <w:bCs/>
                <w:szCs w:val="20"/>
              </w:rPr>
              <w:lastRenderedPageBreak/>
              <w:t>LSM piedāvā man vērtīgu un saistošu saturu par kultūru</w:t>
            </w:r>
          </w:p>
          <w:p w14:paraId="6BDFDE2F" w14:textId="77777777" w:rsidR="004301A8" w:rsidRPr="004301A8" w:rsidRDefault="004301A8" w:rsidP="0056782F">
            <w:pPr>
              <w:rPr>
                <w:rFonts w:cs="Times New Roman"/>
                <w:b/>
                <w:bCs/>
                <w:szCs w:val="20"/>
              </w:rPr>
            </w:pPr>
          </w:p>
        </w:tc>
        <w:tc>
          <w:tcPr>
            <w:tcW w:w="942" w:type="dxa"/>
          </w:tcPr>
          <w:p w14:paraId="065B9DB9" w14:textId="77777777" w:rsidR="004301A8" w:rsidRPr="004301A8" w:rsidRDefault="004301A8" w:rsidP="0056782F">
            <w:pPr>
              <w:jc w:val="center"/>
              <w:rPr>
                <w:rFonts w:cs="Times New Roman"/>
                <w:szCs w:val="20"/>
              </w:rPr>
            </w:pPr>
            <w:r w:rsidRPr="004301A8">
              <w:rPr>
                <w:rFonts w:cs="Times New Roman"/>
                <w:szCs w:val="20"/>
              </w:rPr>
              <w:t>54%</w:t>
            </w:r>
          </w:p>
        </w:tc>
        <w:tc>
          <w:tcPr>
            <w:tcW w:w="992" w:type="dxa"/>
          </w:tcPr>
          <w:p w14:paraId="03BE845F" w14:textId="77777777" w:rsidR="004301A8" w:rsidRPr="004301A8" w:rsidRDefault="004301A8" w:rsidP="0056782F">
            <w:pPr>
              <w:jc w:val="center"/>
              <w:rPr>
                <w:rFonts w:cs="Times New Roman"/>
                <w:szCs w:val="20"/>
              </w:rPr>
            </w:pPr>
            <w:r w:rsidRPr="004301A8">
              <w:rPr>
                <w:rFonts w:cs="Times New Roman"/>
                <w:szCs w:val="20"/>
              </w:rPr>
              <w:t>58%</w:t>
            </w:r>
          </w:p>
        </w:tc>
        <w:tc>
          <w:tcPr>
            <w:tcW w:w="992" w:type="dxa"/>
          </w:tcPr>
          <w:p w14:paraId="3EE8F2E6" w14:textId="77777777" w:rsidR="004301A8" w:rsidRPr="004301A8" w:rsidRDefault="004301A8" w:rsidP="0056782F">
            <w:pPr>
              <w:jc w:val="center"/>
              <w:rPr>
                <w:rFonts w:cs="Times New Roman"/>
                <w:szCs w:val="20"/>
              </w:rPr>
            </w:pPr>
            <w:r w:rsidRPr="004301A8">
              <w:rPr>
                <w:rFonts w:cs="Times New Roman"/>
                <w:szCs w:val="20"/>
              </w:rPr>
              <w:t>59%</w:t>
            </w:r>
          </w:p>
        </w:tc>
        <w:tc>
          <w:tcPr>
            <w:tcW w:w="992" w:type="dxa"/>
          </w:tcPr>
          <w:p w14:paraId="09BB38DA" w14:textId="77777777" w:rsidR="004301A8" w:rsidRPr="004301A8" w:rsidRDefault="004301A8" w:rsidP="0056782F">
            <w:pPr>
              <w:jc w:val="center"/>
              <w:rPr>
                <w:rFonts w:cs="Times New Roman"/>
                <w:szCs w:val="20"/>
              </w:rPr>
            </w:pPr>
            <w:r w:rsidRPr="004301A8">
              <w:rPr>
                <w:rFonts w:cs="Times New Roman"/>
                <w:szCs w:val="20"/>
              </w:rPr>
              <w:t>60%</w:t>
            </w:r>
          </w:p>
        </w:tc>
        <w:tc>
          <w:tcPr>
            <w:tcW w:w="930" w:type="dxa"/>
          </w:tcPr>
          <w:p w14:paraId="6E80A7C2" w14:textId="77777777" w:rsidR="004301A8" w:rsidRPr="004301A8" w:rsidRDefault="004301A8" w:rsidP="0056782F">
            <w:pPr>
              <w:jc w:val="center"/>
              <w:rPr>
                <w:rFonts w:cs="Times New Roman"/>
                <w:szCs w:val="20"/>
              </w:rPr>
            </w:pPr>
            <w:r w:rsidRPr="004301A8">
              <w:rPr>
                <w:rFonts w:cs="Times New Roman"/>
                <w:szCs w:val="20"/>
              </w:rPr>
              <w:t>61%</w:t>
            </w:r>
          </w:p>
        </w:tc>
      </w:tr>
      <w:tr w:rsidR="004301A8" w:rsidRPr="004301A8" w14:paraId="2105610E" w14:textId="77777777" w:rsidTr="0056782F">
        <w:trPr>
          <w:jc w:val="center"/>
        </w:trPr>
        <w:tc>
          <w:tcPr>
            <w:tcW w:w="3448" w:type="dxa"/>
            <w:shd w:val="clear" w:color="auto" w:fill="C00000"/>
          </w:tcPr>
          <w:p w14:paraId="0D58A5C2" w14:textId="77777777" w:rsidR="004301A8" w:rsidRPr="004301A8" w:rsidRDefault="004301A8" w:rsidP="0056782F">
            <w:pPr>
              <w:rPr>
                <w:rFonts w:cs="Times New Roman"/>
                <w:b/>
                <w:bCs/>
                <w:szCs w:val="20"/>
              </w:rPr>
            </w:pPr>
            <w:r w:rsidRPr="004301A8">
              <w:rPr>
                <w:rFonts w:cs="Times New Roman"/>
                <w:b/>
                <w:bCs/>
                <w:szCs w:val="20"/>
              </w:rPr>
              <w:t>LSM motivē kritiski domāt un spriest par man apkārt notiekošo</w:t>
            </w:r>
          </w:p>
          <w:p w14:paraId="1CDBB47B" w14:textId="77777777" w:rsidR="004301A8" w:rsidRPr="004301A8" w:rsidRDefault="004301A8" w:rsidP="0056782F">
            <w:pPr>
              <w:rPr>
                <w:rFonts w:cs="Times New Roman"/>
                <w:b/>
                <w:bCs/>
                <w:szCs w:val="20"/>
              </w:rPr>
            </w:pPr>
          </w:p>
        </w:tc>
        <w:tc>
          <w:tcPr>
            <w:tcW w:w="942" w:type="dxa"/>
          </w:tcPr>
          <w:p w14:paraId="33A7A495" w14:textId="77777777" w:rsidR="004301A8" w:rsidRPr="004301A8" w:rsidRDefault="004301A8" w:rsidP="0056782F">
            <w:pPr>
              <w:jc w:val="center"/>
              <w:rPr>
                <w:rFonts w:cs="Times New Roman"/>
                <w:szCs w:val="20"/>
              </w:rPr>
            </w:pPr>
            <w:r w:rsidRPr="004301A8">
              <w:rPr>
                <w:rFonts w:cs="Times New Roman"/>
                <w:szCs w:val="20"/>
              </w:rPr>
              <w:t>45%</w:t>
            </w:r>
          </w:p>
        </w:tc>
        <w:tc>
          <w:tcPr>
            <w:tcW w:w="992" w:type="dxa"/>
          </w:tcPr>
          <w:p w14:paraId="4161B00F" w14:textId="77777777" w:rsidR="004301A8" w:rsidRPr="004301A8" w:rsidRDefault="004301A8" w:rsidP="0056782F">
            <w:pPr>
              <w:jc w:val="center"/>
              <w:rPr>
                <w:rFonts w:cs="Times New Roman"/>
                <w:szCs w:val="20"/>
              </w:rPr>
            </w:pPr>
            <w:r w:rsidRPr="004301A8">
              <w:rPr>
                <w:rFonts w:cs="Times New Roman"/>
                <w:szCs w:val="20"/>
              </w:rPr>
              <w:t>49%</w:t>
            </w:r>
          </w:p>
        </w:tc>
        <w:tc>
          <w:tcPr>
            <w:tcW w:w="992" w:type="dxa"/>
          </w:tcPr>
          <w:p w14:paraId="5BAC17AC" w14:textId="77777777" w:rsidR="004301A8" w:rsidRPr="004301A8" w:rsidRDefault="004301A8" w:rsidP="0056782F">
            <w:pPr>
              <w:jc w:val="center"/>
              <w:rPr>
                <w:rFonts w:cs="Times New Roman"/>
                <w:szCs w:val="20"/>
              </w:rPr>
            </w:pPr>
            <w:r w:rsidRPr="004301A8">
              <w:rPr>
                <w:rFonts w:cs="Times New Roman"/>
                <w:szCs w:val="20"/>
              </w:rPr>
              <w:t>51%</w:t>
            </w:r>
          </w:p>
        </w:tc>
        <w:tc>
          <w:tcPr>
            <w:tcW w:w="992" w:type="dxa"/>
          </w:tcPr>
          <w:p w14:paraId="741514B9" w14:textId="77777777" w:rsidR="004301A8" w:rsidRPr="004301A8" w:rsidRDefault="004301A8" w:rsidP="0056782F">
            <w:pPr>
              <w:jc w:val="center"/>
              <w:rPr>
                <w:rFonts w:cs="Times New Roman"/>
                <w:szCs w:val="20"/>
              </w:rPr>
            </w:pPr>
            <w:r w:rsidRPr="004301A8">
              <w:rPr>
                <w:rFonts w:cs="Times New Roman"/>
                <w:szCs w:val="20"/>
              </w:rPr>
              <w:t>53%</w:t>
            </w:r>
          </w:p>
        </w:tc>
        <w:tc>
          <w:tcPr>
            <w:tcW w:w="930" w:type="dxa"/>
          </w:tcPr>
          <w:p w14:paraId="67C8E4FB" w14:textId="77777777" w:rsidR="004301A8" w:rsidRPr="004301A8" w:rsidRDefault="004301A8" w:rsidP="0056782F">
            <w:pPr>
              <w:jc w:val="center"/>
              <w:rPr>
                <w:rFonts w:cs="Times New Roman"/>
                <w:szCs w:val="20"/>
              </w:rPr>
            </w:pPr>
            <w:r w:rsidRPr="004301A8">
              <w:rPr>
                <w:rFonts w:cs="Times New Roman"/>
                <w:szCs w:val="20"/>
              </w:rPr>
              <w:t>54%</w:t>
            </w:r>
          </w:p>
        </w:tc>
      </w:tr>
      <w:tr w:rsidR="004301A8" w:rsidRPr="004301A8" w14:paraId="22AC9844" w14:textId="77777777" w:rsidTr="0056782F">
        <w:trPr>
          <w:jc w:val="center"/>
        </w:trPr>
        <w:tc>
          <w:tcPr>
            <w:tcW w:w="3448" w:type="dxa"/>
            <w:shd w:val="clear" w:color="auto" w:fill="C00000"/>
          </w:tcPr>
          <w:p w14:paraId="1E2AD4D4" w14:textId="77777777" w:rsidR="004301A8" w:rsidRPr="004301A8" w:rsidRDefault="004301A8" w:rsidP="0056782F">
            <w:pPr>
              <w:rPr>
                <w:rFonts w:cs="Times New Roman"/>
                <w:b/>
                <w:bCs/>
                <w:szCs w:val="20"/>
              </w:rPr>
            </w:pPr>
            <w:r w:rsidRPr="004301A8">
              <w:rPr>
                <w:rFonts w:cs="Times New Roman"/>
                <w:b/>
                <w:bCs/>
                <w:szCs w:val="20"/>
              </w:rPr>
              <w:t>LSM sniedz jaunas un noderīgas zināšanas par uzņēmējdarbību</w:t>
            </w:r>
          </w:p>
        </w:tc>
        <w:tc>
          <w:tcPr>
            <w:tcW w:w="942" w:type="dxa"/>
          </w:tcPr>
          <w:p w14:paraId="6C337DFD" w14:textId="77777777" w:rsidR="004301A8" w:rsidRPr="004301A8" w:rsidRDefault="004301A8" w:rsidP="0056782F">
            <w:pPr>
              <w:jc w:val="center"/>
              <w:rPr>
                <w:rFonts w:cs="Times New Roman"/>
                <w:szCs w:val="20"/>
              </w:rPr>
            </w:pPr>
            <w:r w:rsidRPr="004301A8">
              <w:rPr>
                <w:rFonts w:cs="Times New Roman"/>
                <w:szCs w:val="20"/>
              </w:rPr>
              <w:t>43%</w:t>
            </w:r>
          </w:p>
        </w:tc>
        <w:tc>
          <w:tcPr>
            <w:tcW w:w="992" w:type="dxa"/>
          </w:tcPr>
          <w:p w14:paraId="0E753CDD" w14:textId="77777777" w:rsidR="004301A8" w:rsidRPr="004301A8" w:rsidRDefault="004301A8" w:rsidP="0056782F">
            <w:pPr>
              <w:jc w:val="center"/>
              <w:rPr>
                <w:rFonts w:cs="Times New Roman"/>
                <w:szCs w:val="20"/>
              </w:rPr>
            </w:pPr>
            <w:r w:rsidRPr="004301A8">
              <w:rPr>
                <w:rFonts w:cs="Times New Roman"/>
                <w:szCs w:val="20"/>
              </w:rPr>
              <w:t>49%</w:t>
            </w:r>
          </w:p>
        </w:tc>
        <w:tc>
          <w:tcPr>
            <w:tcW w:w="992" w:type="dxa"/>
          </w:tcPr>
          <w:p w14:paraId="42AC97C4" w14:textId="77777777" w:rsidR="004301A8" w:rsidRPr="004301A8" w:rsidRDefault="004301A8" w:rsidP="0056782F">
            <w:pPr>
              <w:jc w:val="center"/>
              <w:rPr>
                <w:rFonts w:cs="Times New Roman"/>
                <w:szCs w:val="20"/>
              </w:rPr>
            </w:pPr>
            <w:r w:rsidRPr="004301A8">
              <w:rPr>
                <w:rFonts w:cs="Times New Roman"/>
                <w:szCs w:val="20"/>
              </w:rPr>
              <w:t>50%</w:t>
            </w:r>
          </w:p>
        </w:tc>
        <w:tc>
          <w:tcPr>
            <w:tcW w:w="992" w:type="dxa"/>
          </w:tcPr>
          <w:p w14:paraId="72471DDB" w14:textId="77777777" w:rsidR="004301A8" w:rsidRPr="004301A8" w:rsidRDefault="004301A8" w:rsidP="0056782F">
            <w:pPr>
              <w:jc w:val="center"/>
              <w:rPr>
                <w:rFonts w:cs="Times New Roman"/>
                <w:szCs w:val="20"/>
              </w:rPr>
            </w:pPr>
            <w:r w:rsidRPr="004301A8">
              <w:rPr>
                <w:rFonts w:cs="Times New Roman"/>
                <w:szCs w:val="20"/>
              </w:rPr>
              <w:t>51%</w:t>
            </w:r>
          </w:p>
        </w:tc>
        <w:tc>
          <w:tcPr>
            <w:tcW w:w="930" w:type="dxa"/>
          </w:tcPr>
          <w:p w14:paraId="2D514ABA" w14:textId="77777777" w:rsidR="004301A8" w:rsidRPr="004301A8" w:rsidRDefault="004301A8" w:rsidP="0056782F">
            <w:pPr>
              <w:jc w:val="center"/>
              <w:rPr>
                <w:rFonts w:cs="Times New Roman"/>
                <w:szCs w:val="20"/>
              </w:rPr>
            </w:pPr>
            <w:r w:rsidRPr="004301A8">
              <w:rPr>
                <w:rFonts w:cs="Times New Roman"/>
                <w:szCs w:val="20"/>
              </w:rPr>
              <w:t>52%</w:t>
            </w:r>
          </w:p>
        </w:tc>
      </w:tr>
    </w:tbl>
    <w:p w14:paraId="5CBA767A" w14:textId="77777777" w:rsidR="004301A8" w:rsidRDefault="004301A8" w:rsidP="004301A8">
      <w:pPr>
        <w:pStyle w:val="ListParagraph"/>
        <w:jc w:val="both"/>
        <w:rPr>
          <w:rFonts w:cs="Times New Roman"/>
          <w:lang w:val="lv-LV"/>
        </w:rPr>
      </w:pPr>
    </w:p>
    <w:p w14:paraId="42A081C5" w14:textId="37DAA53A" w:rsidR="004301A8" w:rsidRPr="004301A8" w:rsidRDefault="004301A8" w:rsidP="004301A8">
      <w:pPr>
        <w:pStyle w:val="ListParagraph"/>
        <w:jc w:val="both"/>
        <w:rPr>
          <w:rFonts w:cs="Times New Roman"/>
          <w:sz w:val="24"/>
          <w:szCs w:val="24"/>
          <w:lang w:val="lv-LV"/>
        </w:rPr>
      </w:pPr>
      <w:r>
        <w:rPr>
          <w:rFonts w:cs="Times New Roman"/>
          <w:lang w:val="lv-LV"/>
        </w:rPr>
        <w:t xml:space="preserve">        </w:t>
      </w:r>
      <w:r w:rsidRPr="004301A8">
        <w:rPr>
          <w:rFonts w:cs="Times New Roman"/>
          <w:lang w:val="lv-LV"/>
        </w:rPr>
        <w:t>”</w:t>
      </w:r>
    </w:p>
    <w:p w14:paraId="229F4C84" w14:textId="77777777" w:rsidR="004301A8" w:rsidRPr="004301A8" w:rsidRDefault="004301A8" w:rsidP="004301A8">
      <w:pPr>
        <w:pStyle w:val="ListParagraph"/>
        <w:numPr>
          <w:ilvl w:val="0"/>
          <w:numId w:val="2"/>
        </w:numPr>
        <w:spacing w:after="160"/>
        <w:contextualSpacing/>
        <w:jc w:val="both"/>
        <w:rPr>
          <w:rFonts w:cs="Times New Roman"/>
          <w:sz w:val="24"/>
          <w:szCs w:val="24"/>
          <w:lang w:val="lv-LV"/>
        </w:rPr>
      </w:pPr>
      <w:r w:rsidRPr="004301A8">
        <w:rPr>
          <w:rFonts w:cs="Times New Roman"/>
          <w:sz w:val="24"/>
          <w:szCs w:val="24"/>
          <w:lang w:val="lv-LV"/>
        </w:rPr>
        <w:t>Pārējā daļā 2025. gada 30. septembra Padomes lēmums Nr. 43/1-1 paliek negrozīts.</w:t>
      </w:r>
    </w:p>
    <w:p w14:paraId="544737A6" w14:textId="77777777" w:rsidR="004301A8" w:rsidRPr="004301A8" w:rsidRDefault="004301A8" w:rsidP="004301A8">
      <w:pPr>
        <w:pStyle w:val="ListParagraph"/>
        <w:numPr>
          <w:ilvl w:val="0"/>
          <w:numId w:val="2"/>
        </w:numPr>
        <w:spacing w:after="160"/>
        <w:contextualSpacing/>
        <w:jc w:val="both"/>
        <w:rPr>
          <w:rFonts w:cs="Times New Roman"/>
          <w:sz w:val="24"/>
          <w:szCs w:val="24"/>
          <w:lang w:val="lv-LV"/>
        </w:rPr>
      </w:pPr>
      <w:r w:rsidRPr="004301A8">
        <w:rPr>
          <w:rFonts w:cs="Times New Roman"/>
          <w:sz w:val="24"/>
          <w:szCs w:val="24"/>
          <w:lang w:val="lv-LV"/>
        </w:rPr>
        <w:t>Lēmums stājas spēkā tā pieņemšanas brīdī.</w:t>
      </w:r>
    </w:p>
    <w:p w14:paraId="4B2EB106" w14:textId="77777777" w:rsidR="004301A8" w:rsidRPr="004301A8" w:rsidRDefault="004301A8" w:rsidP="004301A8">
      <w:pPr>
        <w:pStyle w:val="ListParagraph"/>
        <w:numPr>
          <w:ilvl w:val="0"/>
          <w:numId w:val="2"/>
        </w:numPr>
        <w:contextualSpacing/>
        <w:jc w:val="both"/>
        <w:rPr>
          <w:rFonts w:cs="Times New Roman"/>
          <w:sz w:val="24"/>
          <w:szCs w:val="24"/>
          <w:lang w:val="lv-LV"/>
        </w:rPr>
      </w:pPr>
      <w:r w:rsidRPr="004301A8">
        <w:rPr>
          <w:rFonts w:cs="Times New Roman"/>
          <w:sz w:val="24"/>
          <w:szCs w:val="24"/>
          <w:lang w:val="lv-LV"/>
        </w:rPr>
        <w:t>Informēt par šo lēmumu VSIA “Latvijas Sabiedriskais medijs” valdi.</w:t>
      </w:r>
    </w:p>
    <w:p w14:paraId="594A053A" w14:textId="77777777" w:rsidR="004301A8" w:rsidRPr="004301A8" w:rsidRDefault="004301A8" w:rsidP="004301A8">
      <w:pPr>
        <w:pStyle w:val="ListParagraph"/>
        <w:numPr>
          <w:ilvl w:val="0"/>
          <w:numId w:val="2"/>
        </w:numPr>
        <w:contextualSpacing/>
        <w:jc w:val="both"/>
        <w:rPr>
          <w:rFonts w:cs="Times New Roman"/>
          <w:sz w:val="24"/>
          <w:szCs w:val="24"/>
          <w:lang w:val="lv-LV"/>
        </w:rPr>
      </w:pPr>
      <w:r w:rsidRPr="004301A8">
        <w:rPr>
          <w:rFonts w:cs="Times New Roman"/>
          <w:sz w:val="24"/>
          <w:szCs w:val="24"/>
          <w:lang w:val="lv-LV"/>
        </w:rPr>
        <w:t>Atbildīgie Padomes locekļi par šī lēmuma izpildes kontroli ir Sanita Upleja-Jegermane, Una Klapkalne un Andris Saulītis.</w:t>
      </w:r>
    </w:p>
    <w:p w14:paraId="07B757F1" w14:textId="77777777" w:rsidR="004301A8" w:rsidRPr="004301A8" w:rsidRDefault="004301A8" w:rsidP="004301A8">
      <w:pPr>
        <w:jc w:val="both"/>
        <w:rPr>
          <w:rFonts w:cs="Times New Roman"/>
          <w:sz w:val="24"/>
          <w:szCs w:val="24"/>
          <w:lang w:val="lv-LV"/>
        </w:rPr>
      </w:pPr>
    </w:p>
    <w:p w14:paraId="1FB5722C" w14:textId="77777777" w:rsidR="004301A8" w:rsidRPr="004301A8" w:rsidRDefault="004301A8" w:rsidP="004301A8">
      <w:pPr>
        <w:pStyle w:val="NoSpacing"/>
        <w:rPr>
          <w:rFonts w:ascii="Times New Roman" w:hAnsi="Times New Roman" w:cs="Times New Roman"/>
          <w:sz w:val="18"/>
          <w:szCs w:val="18"/>
        </w:rPr>
      </w:pPr>
    </w:p>
    <w:p w14:paraId="0EE9CF9D" w14:textId="77777777" w:rsidR="004301A8" w:rsidRDefault="004301A8" w:rsidP="004301A8">
      <w:pPr>
        <w:spacing w:after="120"/>
        <w:jc w:val="both"/>
        <w:rPr>
          <w:bCs/>
          <w:iCs/>
          <w:sz w:val="24"/>
          <w:szCs w:val="24"/>
          <w:lang w:val="lv-LV"/>
        </w:rPr>
      </w:pPr>
      <w:r w:rsidRPr="004301A8">
        <w:rPr>
          <w:bCs/>
          <w:iCs/>
          <w:sz w:val="24"/>
          <w:szCs w:val="24"/>
          <w:lang w:val="lv-LV"/>
        </w:rPr>
        <w:t>Lēmums sagatavots elektroniski uz 2 (divām) lapām.</w:t>
      </w:r>
    </w:p>
    <w:p w14:paraId="0593EFFA" w14:textId="77777777" w:rsidR="004301A8" w:rsidRPr="004301A8" w:rsidRDefault="004301A8" w:rsidP="004301A8">
      <w:pPr>
        <w:spacing w:after="120"/>
        <w:jc w:val="both"/>
        <w:rPr>
          <w:bCs/>
          <w:iCs/>
          <w:sz w:val="24"/>
          <w:szCs w:val="24"/>
          <w:lang w:val="lv-LV"/>
        </w:rPr>
      </w:pPr>
    </w:p>
    <w:p w14:paraId="144E5121" w14:textId="77777777" w:rsidR="004301A8" w:rsidRPr="004301A8" w:rsidRDefault="004301A8" w:rsidP="00C72619">
      <w:pPr>
        <w:jc w:val="center"/>
        <w:rPr>
          <w:lang w:val="lv-LV"/>
        </w:rPr>
      </w:pPr>
    </w:p>
    <w:p w14:paraId="07601EEB" w14:textId="10AC5829" w:rsidR="004301A8" w:rsidRDefault="004301A8" w:rsidP="004301A8">
      <w:pPr>
        <w:rPr>
          <w:b/>
          <w:bCs/>
          <w:sz w:val="24"/>
          <w:szCs w:val="24"/>
          <w:lang w:val="lv-LV"/>
        </w:rPr>
      </w:pPr>
      <w:r w:rsidRPr="004301A8">
        <w:rPr>
          <w:b/>
          <w:bCs/>
          <w:sz w:val="24"/>
          <w:szCs w:val="24"/>
          <w:lang w:val="lv-LV"/>
        </w:rPr>
        <w:t xml:space="preserve">Padomes priekšsēdētāja </w:t>
      </w:r>
      <w:r w:rsidRPr="004301A8">
        <w:rPr>
          <w:b/>
          <w:bCs/>
          <w:sz w:val="24"/>
          <w:szCs w:val="24"/>
          <w:lang w:val="lv-LV"/>
        </w:rPr>
        <w:tab/>
      </w:r>
      <w:r w:rsidRPr="004301A8">
        <w:rPr>
          <w:b/>
          <w:bCs/>
          <w:sz w:val="24"/>
          <w:szCs w:val="24"/>
          <w:lang w:val="lv-LV"/>
        </w:rPr>
        <w:tab/>
        <w:t xml:space="preserve">  (</w:t>
      </w:r>
      <w:r w:rsidRPr="004301A8">
        <w:rPr>
          <w:b/>
          <w:bCs/>
          <w:i/>
          <w:iCs/>
          <w:sz w:val="24"/>
          <w:szCs w:val="24"/>
          <w:lang w:val="lv-LV"/>
        </w:rPr>
        <w:t>paraksts</w:t>
      </w:r>
      <w:r w:rsidRPr="004301A8">
        <w:rPr>
          <w:b/>
          <w:bCs/>
          <w:sz w:val="24"/>
          <w:szCs w:val="24"/>
          <w:lang w:val="lv-LV"/>
        </w:rPr>
        <w:t>)*</w:t>
      </w:r>
      <w:r>
        <w:rPr>
          <w:b/>
          <w:bCs/>
          <w:sz w:val="24"/>
          <w:szCs w:val="24"/>
          <w:lang w:val="lv-LV"/>
        </w:rPr>
        <w:t xml:space="preserve">                        </w:t>
      </w:r>
      <w:r w:rsidRPr="004301A8">
        <w:rPr>
          <w:b/>
          <w:bCs/>
          <w:sz w:val="24"/>
          <w:szCs w:val="24"/>
          <w:lang w:val="lv-LV"/>
        </w:rPr>
        <w:tab/>
        <w:t>S. Upleja-Jegermane</w:t>
      </w:r>
    </w:p>
    <w:p w14:paraId="575267DA" w14:textId="77777777" w:rsidR="004301A8" w:rsidRPr="004301A8" w:rsidRDefault="004301A8" w:rsidP="004301A8">
      <w:pPr>
        <w:jc w:val="center"/>
        <w:rPr>
          <w:lang w:val="lv-LV"/>
        </w:rPr>
      </w:pPr>
    </w:p>
    <w:p w14:paraId="0D8EC8C2" w14:textId="77777777" w:rsidR="004301A8" w:rsidRPr="004301A8" w:rsidRDefault="004301A8" w:rsidP="004301A8">
      <w:pPr>
        <w:tabs>
          <w:tab w:val="left" w:pos="720"/>
          <w:tab w:val="left" w:pos="1440"/>
          <w:tab w:val="left" w:pos="2160"/>
          <w:tab w:val="left" w:pos="2880"/>
          <w:tab w:val="left" w:pos="3600"/>
          <w:tab w:val="left" w:pos="4320"/>
          <w:tab w:val="left" w:pos="6804"/>
        </w:tabs>
        <w:rPr>
          <w:b/>
          <w:bCs/>
          <w:sz w:val="24"/>
          <w:szCs w:val="24"/>
          <w:lang w:val="lv-LV"/>
        </w:rPr>
      </w:pPr>
    </w:p>
    <w:p w14:paraId="39B87479" w14:textId="77777777" w:rsidR="004301A8" w:rsidRPr="004301A8" w:rsidRDefault="004301A8" w:rsidP="004301A8">
      <w:pPr>
        <w:spacing w:line="288" w:lineRule="auto"/>
        <w:jc w:val="center"/>
        <w:rPr>
          <w:lang w:val="lv-LV"/>
        </w:rPr>
      </w:pPr>
      <w:r w:rsidRPr="004301A8">
        <w:rPr>
          <w:sz w:val="22"/>
          <w:lang w:val="lv-LV"/>
        </w:rPr>
        <w:t>*DOKUMENTS PARAKSTĪTS AR DROŠU ELEKTRONISKO PARAKSTU UN SATUR LAIKA ZĪMOGU</w:t>
      </w:r>
    </w:p>
    <w:p w14:paraId="7459100F" w14:textId="77777777" w:rsidR="004301A8" w:rsidRPr="004301A8" w:rsidRDefault="004301A8" w:rsidP="004301A8">
      <w:pPr>
        <w:jc w:val="center"/>
        <w:rPr>
          <w:lang w:val="lv-LV"/>
        </w:rPr>
      </w:pPr>
    </w:p>
    <w:p w14:paraId="6D05822E" w14:textId="77777777" w:rsidR="004301A8" w:rsidRPr="000C7F05" w:rsidRDefault="004301A8" w:rsidP="00C72619">
      <w:pPr>
        <w:jc w:val="center"/>
        <w:rPr>
          <w:lang w:val="lv-LV"/>
        </w:rPr>
      </w:pPr>
    </w:p>
    <w:sectPr w:rsidR="004301A8" w:rsidRPr="000C7F05" w:rsidSect="00A90531">
      <w:headerReference w:type="first" r:id="rId9"/>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86E7" w14:textId="77777777" w:rsidR="00927EA0" w:rsidRDefault="00927EA0" w:rsidP="00174CDC">
      <w:r>
        <w:separator/>
      </w:r>
    </w:p>
  </w:endnote>
  <w:endnote w:type="continuationSeparator" w:id="0">
    <w:p w14:paraId="16EDAE5A" w14:textId="77777777" w:rsidR="00927EA0" w:rsidRDefault="00927EA0"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DA5E" w14:textId="77777777" w:rsidR="00927EA0" w:rsidRDefault="00927EA0" w:rsidP="00174CDC">
      <w:r>
        <w:separator/>
      </w:r>
    </w:p>
  </w:footnote>
  <w:footnote w:type="continuationSeparator" w:id="0">
    <w:p w14:paraId="34340E75" w14:textId="77777777" w:rsidR="00927EA0" w:rsidRDefault="00927EA0"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6F639E"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A35FDE"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31935"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5DE614B4" w14:textId="77777777" w:rsidR="00012E73" w:rsidRDefault="00012E73">
    <w:pPr>
      <w:pStyle w:val="Header"/>
    </w:pPr>
  </w:p>
  <w:p w14:paraId="66CCE722" w14:textId="77777777" w:rsidR="00012E73" w:rsidRDefault="00012E73">
    <w:pPr>
      <w:pStyle w:val="Header"/>
    </w:pPr>
  </w:p>
  <w:p w14:paraId="7643F52B" w14:textId="77777777" w:rsidR="00012E73" w:rsidRDefault="00012E73">
    <w:pPr>
      <w:pStyle w:val="Header"/>
    </w:pPr>
  </w:p>
  <w:p w14:paraId="26A655BF" w14:textId="77777777" w:rsidR="00012E73" w:rsidRDefault="00012E73">
    <w:pPr>
      <w:pStyle w:val="Header"/>
    </w:pPr>
  </w:p>
  <w:p w14:paraId="2D7402EA" w14:textId="77777777" w:rsidR="00012E73" w:rsidRDefault="00012E73">
    <w:pPr>
      <w:pStyle w:val="Header"/>
    </w:pPr>
  </w:p>
  <w:p w14:paraId="68127658" w14:textId="77777777" w:rsidR="00012E73" w:rsidRDefault="00012E73">
    <w:pPr>
      <w:pStyle w:val="Header"/>
    </w:pPr>
  </w:p>
  <w:p w14:paraId="34E6C71A" w14:textId="77777777" w:rsidR="00012E73" w:rsidRDefault="00012E73">
    <w:pPr>
      <w:pStyle w:val="Header"/>
    </w:pPr>
  </w:p>
  <w:p w14:paraId="4E37549D" w14:textId="0D4756C7" w:rsidR="00012E73" w:rsidRPr="00FA3E37" w:rsidRDefault="00012E73">
    <w:pPr>
      <w:pStyle w:val="Header"/>
      <w:rPr>
        <w:sz w:val="24"/>
        <w:szCs w:val="24"/>
      </w:rPr>
    </w:pPr>
    <w:r w:rsidRPr="00FA3E37">
      <w:rPr>
        <w:sz w:val="24"/>
        <w:szCs w:val="24"/>
      </w:rPr>
      <w:t xml:space="preserve"> </w:t>
    </w:r>
  </w:p>
  <w:p w14:paraId="42BFD24D" w14:textId="04D8DB73" w:rsidR="00D315A0" w:rsidRPr="00FA3E37" w:rsidRDefault="00FA3E37" w:rsidP="00FA3E37">
    <w:pPr>
      <w:widowControl/>
      <w:adjustRightInd w:val="0"/>
      <w:spacing w:line="480" w:lineRule="auto"/>
      <w:rPr>
        <w:rFonts w:ascii="MS Shell Dlg 2" w:hAnsi="MS Shell Dlg 2" w:cs="MS Shell Dlg 2"/>
        <w:sz w:val="16"/>
        <w:szCs w:val="16"/>
      </w:rPr>
    </w:pPr>
    <w:r>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FA3E37" w:rsidRDefault="00D315A0" w:rsidP="00D315A0">
    <w:pPr>
      <w:widowControl/>
      <w:adjustRightInd w:val="0"/>
      <w:rPr>
        <w:rFonts w:ascii="MS Shell Dlg 2" w:hAnsi="MS Shell Dlg 2" w:cs="MS Shell Dlg 2"/>
        <w:sz w:val="16"/>
        <w:szCs w:val="16"/>
      </w:rPr>
    </w:pPr>
  </w:p>
  <w:p w14:paraId="51E926F7" w14:textId="42C048A2" w:rsidR="00012E73" w:rsidRPr="00D315A0" w:rsidRDefault="00012E73" w:rsidP="00012E73">
    <w:pPr>
      <w:rPr>
        <w:sz w:val="17"/>
        <w:szCs w:val="17"/>
        <w:lang w:val="lv-LV"/>
      </w:rPr>
    </w:pPr>
  </w:p>
  <w:p w14:paraId="436EDDCD" w14:textId="4DA666CE"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D5440"/>
    <w:multiLevelType w:val="hybridMultilevel"/>
    <w:tmpl w:val="844030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4E6186"/>
    <w:multiLevelType w:val="hybridMultilevel"/>
    <w:tmpl w:val="84403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0843">
    <w:abstractNumId w:val="1"/>
  </w:num>
  <w:num w:numId="2" w16cid:durableId="169183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12E73"/>
    <w:rsid w:val="00095F42"/>
    <w:rsid w:val="000C7F05"/>
    <w:rsid w:val="00111693"/>
    <w:rsid w:val="00113021"/>
    <w:rsid w:val="001622BF"/>
    <w:rsid w:val="00174CDC"/>
    <w:rsid w:val="001D1912"/>
    <w:rsid w:val="00221BF9"/>
    <w:rsid w:val="003119ED"/>
    <w:rsid w:val="00313560"/>
    <w:rsid w:val="00376CE9"/>
    <w:rsid w:val="003B2495"/>
    <w:rsid w:val="003F448A"/>
    <w:rsid w:val="004301A8"/>
    <w:rsid w:val="004936A7"/>
    <w:rsid w:val="005511FE"/>
    <w:rsid w:val="00564C5A"/>
    <w:rsid w:val="00585C7D"/>
    <w:rsid w:val="00632AE3"/>
    <w:rsid w:val="00684C99"/>
    <w:rsid w:val="006E0376"/>
    <w:rsid w:val="00737D1D"/>
    <w:rsid w:val="007467DF"/>
    <w:rsid w:val="0075677F"/>
    <w:rsid w:val="007574B3"/>
    <w:rsid w:val="007C3FEE"/>
    <w:rsid w:val="007E2E99"/>
    <w:rsid w:val="00874E3E"/>
    <w:rsid w:val="00927EA0"/>
    <w:rsid w:val="00A139CC"/>
    <w:rsid w:val="00A90531"/>
    <w:rsid w:val="00C0176A"/>
    <w:rsid w:val="00C12AC4"/>
    <w:rsid w:val="00C55305"/>
    <w:rsid w:val="00C72619"/>
    <w:rsid w:val="00D315A0"/>
    <w:rsid w:val="00FA3E37"/>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table" w:styleId="TableGrid">
    <w:name w:val="Table Grid"/>
    <w:basedOn w:val="TableNormal"/>
    <w:uiPriority w:val="39"/>
    <w:rsid w:val="004301A8"/>
    <w:pPr>
      <w:widowControl/>
      <w:autoSpaceDE/>
      <w:autoSpaceDN/>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01A8"/>
    <w:pPr>
      <w:widowControl/>
      <w:autoSpaceDE/>
      <w:autoSpaceDN/>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359</Words>
  <Characters>2200</Characters>
  <Application>Microsoft Office Word</Application>
  <DocSecurity>0</DocSecurity>
  <Lines>121</Lines>
  <Paragraphs>72</Paragraphs>
  <ScaleCrop>false</ScaleCrop>
  <HeadingPairs>
    <vt:vector size="4" baseType="variant">
      <vt:variant>
        <vt:lpstr>Titel</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Solvita Batarāga</dc:creator>
  <cp:lastModifiedBy>Aija Krolle</cp:lastModifiedBy>
  <cp:revision>4</cp:revision>
  <cp:lastPrinted>2022-01-11T13:16:00Z</cp:lastPrinted>
  <dcterms:created xsi:type="dcterms:W3CDTF">2023-10-27T10:35:00Z</dcterms:created>
  <dcterms:modified xsi:type="dcterms:W3CDTF">2026-05-28T12:53:00Z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