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B1DF48" w14:textId="77777777" w:rsidR="00615434" w:rsidRDefault="003E4A23" w:rsidP="003E4A23">
      <w:pPr>
        <w:pStyle w:val="Heading1"/>
        <w:jc w:val="right"/>
        <w:rPr>
          <w:rFonts w:cstheme="majorHAnsi"/>
          <w:b w:val="0"/>
          <w:bCs/>
          <w:i/>
          <w:iCs/>
          <w:sz w:val="24"/>
          <w:szCs w:val="24"/>
        </w:rPr>
      </w:pPr>
      <w:bookmarkStart w:id="0" w:name="_Toc135208914"/>
      <w:r>
        <w:rPr>
          <w:rFonts w:cstheme="majorHAnsi"/>
          <w:b w:val="0"/>
          <w:bCs/>
          <w:i/>
          <w:iCs/>
          <w:sz w:val="24"/>
          <w:szCs w:val="24"/>
        </w:rPr>
        <w:t>Pielikums nr. 7</w:t>
      </w:r>
    </w:p>
    <w:p w14:paraId="23B13F1C" w14:textId="29CF7FBC" w:rsidR="003E4A23" w:rsidRDefault="003E4A23" w:rsidP="00064C4D">
      <w:pPr>
        <w:pStyle w:val="Heading1"/>
        <w:spacing w:after="0" w:line="240" w:lineRule="auto"/>
        <w:rPr>
          <w:rFonts w:cstheme="majorHAnsi"/>
          <w:b w:val="0"/>
          <w:bCs/>
          <w:i/>
          <w:iCs/>
          <w:sz w:val="24"/>
          <w:szCs w:val="24"/>
        </w:rPr>
      </w:pPr>
      <w:r>
        <w:rPr>
          <w:rFonts w:cstheme="majorHAnsi"/>
          <w:b w:val="0"/>
          <w:bCs/>
          <w:i/>
          <w:iCs/>
          <w:sz w:val="24"/>
          <w:szCs w:val="24"/>
        </w:rPr>
        <w:t>2022. gadā notikušo apmācību saraksts</w:t>
      </w:r>
      <w:bookmarkEnd w:id="0"/>
    </w:p>
    <w:p w14:paraId="4ACA5EF5" w14:textId="3C238B06" w:rsidR="00064C4D" w:rsidRPr="00064C4D" w:rsidRDefault="00064C4D" w:rsidP="00064C4D">
      <w:pPr>
        <w:spacing w:line="240" w:lineRule="auto"/>
        <w:rPr>
          <w:rFonts w:asciiTheme="majorHAnsi" w:hAnsiTheme="majorHAnsi" w:cstheme="majorHAnsi"/>
          <w:i/>
          <w:iCs/>
        </w:rPr>
      </w:pPr>
      <w:r w:rsidRPr="00064C4D">
        <w:rPr>
          <w:rFonts w:asciiTheme="majorHAnsi" w:hAnsiTheme="majorHAnsi" w:cstheme="majorHAnsi"/>
          <w:i/>
          <w:iCs/>
        </w:rPr>
        <w:t>Budžets</w:t>
      </w:r>
      <w:r>
        <w:rPr>
          <w:rFonts w:asciiTheme="majorHAnsi" w:hAnsiTheme="majorHAnsi" w:cstheme="majorHAnsi"/>
          <w:i/>
          <w:iCs/>
        </w:rPr>
        <w:t xml:space="preserve"> – 34 639,- EUR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8"/>
        <w:gridCol w:w="7688"/>
      </w:tblGrid>
      <w:tr w:rsidR="003E4A23" w14:paraId="0764515A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61CEE139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Nr.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  <w:hideMark/>
          </w:tcPr>
          <w:p w14:paraId="58A32F8E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eastAsia="Times New Roman" w:hAnsiTheme="majorHAnsi" w:cstheme="majorHAnsi"/>
                <w:b/>
                <w:bCs/>
                <w:color w:val="000000"/>
                <w:sz w:val="20"/>
                <w:szCs w:val="20"/>
              </w:rPr>
              <w:t>Temats</w:t>
            </w:r>
          </w:p>
        </w:tc>
      </w:tr>
      <w:tr w:rsidR="003E4A23" w14:paraId="0EFF5800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E91995A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B4D941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Audience modulis</w:t>
            </w:r>
          </w:p>
        </w:tc>
      </w:tr>
      <w:tr w:rsidR="003E4A23" w14:paraId="7D1F728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4DFB31E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76BCD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Content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Planning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modulis</w:t>
            </w:r>
          </w:p>
        </w:tc>
      </w:tr>
      <w:tr w:rsidR="003E4A23" w14:paraId="320BB526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78D9AA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433316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Content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Production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modulis</w:t>
            </w:r>
          </w:p>
        </w:tc>
      </w:tr>
      <w:tr w:rsidR="003E4A23" w14:paraId="4D13CA44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6314AB3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0B6AFA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Physical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HEAT</w:t>
            </w:r>
          </w:p>
        </w:tc>
      </w:tr>
      <w:tr w:rsidR="003E4A23" w14:paraId="700C4A30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B437D8E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464D0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Digital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HEAT</w:t>
            </w:r>
          </w:p>
        </w:tc>
      </w:tr>
      <w:tr w:rsidR="003E4A23" w14:paraId="12A7B953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871058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8AD204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Adobe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Premiere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(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videomontāžas</w:t>
            </w:r>
            <w:proofErr w:type="spellEnd"/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 apmācības)</w:t>
            </w:r>
          </w:p>
        </w:tc>
      </w:tr>
      <w:tr w:rsidR="003E4A23" w14:paraId="195AEB5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77D5EC6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A99F8F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Tālvadības pilots</w:t>
            </w:r>
          </w:p>
        </w:tc>
      </w:tr>
      <w:tr w:rsidR="003E4A23" w14:paraId="68ACAC6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0026F5F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76D67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MS Excel apmācības</w:t>
            </w:r>
          </w:p>
        </w:tc>
      </w:tr>
      <w:tr w:rsidR="003E4A23" w14:paraId="4361F51A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35E0CA2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78550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Pirmās palīdzības apmācības</w:t>
            </w:r>
          </w:p>
        </w:tc>
      </w:tr>
      <w:tr w:rsidR="003E4A23" w14:paraId="518D11A3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004B246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37FA5F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Dokumentālo filmu pieteikumu sagatavošana</w:t>
            </w:r>
          </w:p>
        </w:tc>
      </w:tr>
      <w:tr w:rsidR="003E4A23" w14:paraId="336F88DD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BEA6F43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1709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00000"/>
              </w:rPr>
              <w:t>Storytelling</w:t>
            </w:r>
            <w:proofErr w:type="spellEnd"/>
          </w:p>
        </w:tc>
      </w:tr>
      <w:tr w:rsidR="003E4A23" w14:paraId="0896F3F5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8E262E5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8D882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Dizaina domāšana</w:t>
            </w:r>
          </w:p>
        </w:tc>
      </w:tr>
      <w:tr w:rsidR="003E4A23" w14:paraId="2E9AF1F3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19B3E1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68937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Front-end mājaslapu izstrādē</w:t>
            </w:r>
          </w:p>
        </w:tc>
      </w:tr>
      <w:tr w:rsidR="003E4A23" w14:paraId="36DDF4E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940D17F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19CED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Projektu vadība</w:t>
            </w:r>
          </w:p>
        </w:tc>
      </w:tr>
      <w:tr w:rsidR="003E4A23" w14:paraId="3252E450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C085232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64F08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Zīmolvedība digitālajā vidē</w:t>
            </w:r>
          </w:p>
        </w:tc>
      </w:tr>
      <w:tr w:rsidR="003E4A23" w14:paraId="3F7E1548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10D94F3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7F77B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Video un skaņu ierakstu tehnika</w:t>
            </w:r>
          </w:p>
        </w:tc>
      </w:tr>
      <w:tr w:rsidR="003E4A23" w14:paraId="437C3D46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3033EB3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89472D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Instagram mārketings</w:t>
            </w:r>
          </w:p>
        </w:tc>
      </w:tr>
      <w:tr w:rsidR="003E4A23" w14:paraId="50D224F0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0477B8D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B90E3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Runas un ķermeņa valoda</w:t>
            </w:r>
          </w:p>
        </w:tc>
      </w:tr>
      <w:tr w:rsidR="003E4A23" w14:paraId="547BE9C7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DFE82D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19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C9C9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Konference "Subject: Creativity"</w:t>
            </w:r>
          </w:p>
        </w:tc>
      </w:tr>
      <w:tr w:rsidR="003E4A23" w14:paraId="735D1A8E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0C45541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076FE8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Konference "Cilvēkfaktors"</w:t>
            </w:r>
          </w:p>
        </w:tc>
      </w:tr>
      <w:tr w:rsidR="003E4A23" w14:paraId="03C74936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5D09C6A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0D7ED3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Konference "HR nedēļa"</w:t>
            </w:r>
          </w:p>
        </w:tc>
      </w:tr>
      <w:tr w:rsidR="003E4A23" w14:paraId="535EB10E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F5046F4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22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BECA2C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Konference "Riga COMM2022"</w:t>
            </w:r>
          </w:p>
        </w:tc>
      </w:tr>
      <w:tr w:rsidR="003E4A23" w14:paraId="0D1BD8B7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2BB5354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23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8B747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Konference “Uzticēšanās un patiesība. Žurnālistika kara apstākļos”</w:t>
            </w:r>
          </w:p>
        </w:tc>
      </w:tr>
      <w:tr w:rsidR="003E4A23" w14:paraId="7A80306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055A79F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24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C28A5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Krīzes apmācību pasākumi medijiem (lekcijas/semināri ar Ukrainas, Igaunijas un Latvijas ekspertiem)</w:t>
            </w:r>
          </w:p>
        </w:tc>
      </w:tr>
      <w:tr w:rsidR="003E4A23" w14:paraId="56067925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2CD2427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25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F0AC15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Skatu punkti: Cieņa</w:t>
            </w:r>
          </w:p>
        </w:tc>
      </w:tr>
      <w:tr w:rsidR="003E4A23" w14:paraId="126DAEA9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1626046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26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4437B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Civilā aizsardzība</w:t>
            </w:r>
          </w:p>
        </w:tc>
      </w:tr>
      <w:tr w:rsidR="003E4A23" w14:paraId="349B522D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D24F3B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27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648FF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Publiskie iepirkumi</w:t>
            </w:r>
          </w:p>
        </w:tc>
      </w:tr>
      <w:tr w:rsidR="003E4A23" w14:paraId="51221B88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45AC65A2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28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3D72A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Darba tiesību aktualitātes</w:t>
            </w:r>
          </w:p>
        </w:tc>
      </w:tr>
      <w:tr w:rsidR="003E4A23" w14:paraId="6880996F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4870FDF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29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891DC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Kompetenču intervijas</w:t>
            </w:r>
          </w:p>
        </w:tc>
      </w:tr>
      <w:tr w:rsidR="003E4A23" w14:paraId="66D6FF7B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288B228C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30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B92BEC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>Dokumentu arhivēšana, elektroniskie dokumenti</w:t>
            </w:r>
          </w:p>
        </w:tc>
      </w:tr>
      <w:tr w:rsidR="003E4A23" w14:paraId="6634BD12" w14:textId="77777777" w:rsidTr="005B05E8">
        <w:tc>
          <w:tcPr>
            <w:tcW w:w="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61141089" w14:textId="77777777" w:rsidR="003E4A23" w:rsidRDefault="003E4A23" w:rsidP="005B05E8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000000"/>
              </w:rPr>
              <w:t>31</w:t>
            </w:r>
          </w:p>
        </w:tc>
        <w:tc>
          <w:tcPr>
            <w:tcW w:w="8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CB4577" w14:textId="77777777" w:rsidR="003E4A23" w:rsidRDefault="003E4A23" w:rsidP="005B05E8">
            <w:pPr>
              <w:spacing w:line="240" w:lineRule="auto"/>
              <w:rPr>
                <w:rFonts w:asciiTheme="majorHAnsi" w:eastAsia="Times New Roman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i/>
                <w:iCs/>
                <w:color w:val="000000"/>
              </w:rPr>
              <w:t xml:space="preserve">RESTART (pasākums vadītājiem un komandas izaugsmei </w:t>
            </w:r>
          </w:p>
        </w:tc>
      </w:tr>
    </w:tbl>
    <w:p w14:paraId="42EBF0AA" w14:textId="0780896A" w:rsidR="006B0AAD" w:rsidRDefault="006B0AAD"/>
    <w:p w14:paraId="6FBEA6F1" w14:textId="111C5531" w:rsidR="002062C6" w:rsidRDefault="00615434">
      <w:pPr>
        <w:rPr>
          <w:i/>
          <w:iCs/>
        </w:rPr>
      </w:pPr>
      <w:r w:rsidRPr="00615434">
        <w:rPr>
          <w:i/>
          <w:iCs/>
        </w:rPr>
        <w:t>2021. gadā notikušo apmācību saraksts</w:t>
      </w:r>
    </w:p>
    <w:p w14:paraId="531DF1E5" w14:textId="1B9E4EC7" w:rsidR="00064C4D" w:rsidRPr="00064C4D" w:rsidRDefault="00064C4D">
      <w:pPr>
        <w:rPr>
          <w:rFonts w:asciiTheme="majorHAnsi" w:hAnsiTheme="majorHAnsi" w:cstheme="majorHAnsi"/>
          <w:i/>
          <w:iCs/>
        </w:rPr>
      </w:pPr>
      <w:r w:rsidRPr="00064C4D">
        <w:rPr>
          <w:rFonts w:asciiTheme="majorHAnsi" w:hAnsiTheme="majorHAnsi" w:cstheme="majorHAnsi"/>
          <w:i/>
          <w:iCs/>
        </w:rPr>
        <w:t>Budžets – 27 564,- EUR</w:t>
      </w:r>
    </w:p>
    <w:tbl>
      <w:tblPr>
        <w:tblW w:w="8359" w:type="dxa"/>
        <w:tblLook w:val="04A0" w:firstRow="1" w:lastRow="0" w:firstColumn="1" w:lastColumn="0" w:noHBand="0" w:noVBand="1"/>
      </w:tblPr>
      <w:tblGrid>
        <w:gridCol w:w="562"/>
        <w:gridCol w:w="7797"/>
      </w:tblGrid>
      <w:tr w:rsidR="002062C6" w:rsidRPr="00615434" w14:paraId="683B4677" w14:textId="77777777" w:rsidTr="00615434">
        <w:trPr>
          <w:trHeight w:val="428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21405513" w14:textId="1485C3AB" w:rsidR="002062C6" w:rsidRPr="00064C4D" w:rsidRDefault="002062C6" w:rsidP="00615434">
            <w:pPr>
              <w:spacing w:line="240" w:lineRule="auto"/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Nr.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1DBAF651" w14:textId="12392732" w:rsidR="002062C6" w:rsidRPr="00615434" w:rsidRDefault="002062C6" w:rsidP="00615434">
            <w:pPr>
              <w:spacing w:line="240" w:lineRule="auto"/>
              <w:rPr>
                <w:rFonts w:asciiTheme="majorHAnsi" w:eastAsia="Times New Roman" w:hAnsiTheme="majorHAnsi" w:cstheme="majorHAnsi"/>
              </w:rPr>
            </w:pPr>
            <w:r w:rsidRPr="00615434">
              <w:rPr>
                <w:rFonts w:asciiTheme="majorHAnsi" w:eastAsia="Times New Roman" w:hAnsiTheme="majorHAnsi" w:cstheme="majorHAnsi"/>
                <w:b/>
                <w:bCs/>
                <w:color w:val="000000"/>
              </w:rPr>
              <w:t>Temats</w:t>
            </w:r>
          </w:p>
        </w:tc>
      </w:tr>
      <w:tr w:rsidR="002062C6" w:rsidRPr="00615434" w14:paraId="2B256C62" w14:textId="77777777" w:rsidTr="00615434">
        <w:trPr>
          <w:trHeight w:val="279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01E80" w14:textId="5E741BFC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B28AF" w14:textId="3C0C8C53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Pārmaiņu vadība</w:t>
            </w:r>
          </w:p>
        </w:tc>
      </w:tr>
      <w:tr w:rsidR="002062C6" w:rsidRPr="00615434" w14:paraId="4F4FD0F6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F8A3D" w14:textId="0A31D21C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BAE96" w14:textId="104EDFE2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Satura pasūtīšana multimediju vidē</w:t>
            </w:r>
          </w:p>
        </w:tc>
      </w:tr>
      <w:tr w:rsidR="002062C6" w:rsidRPr="00615434" w14:paraId="38183921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8642A" w14:textId="688BAF31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05F68" w14:textId="4C971549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Video filmēšanas paņēmieni webam</w:t>
            </w:r>
          </w:p>
        </w:tc>
      </w:tr>
      <w:tr w:rsidR="002062C6" w:rsidRPr="00615434" w14:paraId="41868DEB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00E9A" w14:textId="3A5B19D3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202124"/>
              </w:rPr>
            </w:pPr>
            <w:r w:rsidRPr="00064C4D">
              <w:rPr>
                <w:rFonts w:asciiTheme="majorHAnsi" w:eastAsia="Times New Roman" w:hAnsiTheme="majorHAnsi" w:cstheme="majorHAnsi"/>
                <w:color w:val="202124"/>
              </w:rPr>
              <w:t>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548028" w14:textId="51C78682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202124"/>
              </w:rPr>
              <w:t>Sociālo mediju tendences un analīze</w:t>
            </w:r>
          </w:p>
        </w:tc>
      </w:tr>
      <w:tr w:rsidR="002062C6" w:rsidRPr="00615434" w14:paraId="5313167D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53563" w14:textId="4D695413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FF3574" w14:textId="41BD20EF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Subtitru veidošana videoklipiem</w:t>
            </w:r>
          </w:p>
        </w:tc>
      </w:tr>
      <w:tr w:rsidR="002062C6" w:rsidRPr="00615434" w14:paraId="34D1D223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43567" w14:textId="7CDFF318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29593" w14:textId="4FFDD228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Video filmēšanas paņēmieni digitālajām platformām</w:t>
            </w:r>
          </w:p>
        </w:tc>
      </w:tr>
      <w:tr w:rsidR="002062C6" w:rsidRPr="00615434" w14:paraId="490FD224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1BCB2" w14:textId="164C0F2D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75A62" w14:textId="20318756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Auditorijas izpēte</w:t>
            </w:r>
          </w:p>
        </w:tc>
      </w:tr>
      <w:tr w:rsidR="002062C6" w:rsidRPr="00615434" w14:paraId="42E47715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E46FB" w14:textId="2F8AD048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D9D4B" w14:textId="5450B2F5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Podkāsti</w:t>
            </w:r>
          </w:p>
        </w:tc>
      </w:tr>
      <w:tr w:rsidR="002062C6" w:rsidRPr="00615434" w14:paraId="6BF12E94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93AC1" w14:textId="70BCFB05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202124"/>
              </w:rPr>
            </w:pPr>
            <w:r w:rsidRPr="00064C4D">
              <w:rPr>
                <w:rFonts w:asciiTheme="majorHAnsi" w:eastAsia="Times New Roman" w:hAnsiTheme="majorHAnsi" w:cstheme="majorHAnsi"/>
                <w:color w:val="202124"/>
              </w:rPr>
              <w:t>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94BB3" w14:textId="6E25ED30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202124"/>
              </w:rPr>
              <w:t>Stāstu un scenāriju adaptācijas</w:t>
            </w:r>
          </w:p>
        </w:tc>
      </w:tr>
      <w:tr w:rsidR="002062C6" w:rsidRPr="00615434" w14:paraId="0988C775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6AB1" w14:textId="3CE5E008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202124"/>
              </w:rPr>
            </w:pPr>
            <w:r w:rsidRPr="00064C4D">
              <w:rPr>
                <w:rFonts w:asciiTheme="majorHAnsi" w:eastAsia="Times New Roman" w:hAnsiTheme="majorHAnsi" w:cstheme="majorHAnsi"/>
                <w:color w:val="202124"/>
              </w:rPr>
              <w:t>10.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4D18A" w14:textId="3D1FE2BE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202124"/>
              </w:rPr>
              <w:t>Kā izveidot vienkāršu skaidrojumu ("Explainers")</w:t>
            </w:r>
          </w:p>
        </w:tc>
      </w:tr>
      <w:tr w:rsidR="002062C6" w:rsidRPr="00615434" w14:paraId="5C84FDD2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3091" w14:textId="76B7A9AE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lastRenderedPageBreak/>
              <w:t>11.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88F98" w14:textId="40EBCFB5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Mojo mobilais žurnālists - video veidošana 1. daļa</w:t>
            </w:r>
          </w:p>
        </w:tc>
      </w:tr>
      <w:tr w:rsidR="002062C6" w:rsidRPr="00615434" w14:paraId="66684305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BB46C" w14:textId="3B329417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0A3E0C" w14:textId="6A2FEE09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Mojo mobilais žurnālists - video veidošana 2. daļa</w:t>
            </w:r>
          </w:p>
        </w:tc>
      </w:tr>
      <w:tr w:rsidR="002062C6" w:rsidRPr="00615434" w14:paraId="2D4FD106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27558" w14:textId="639F6BCD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014EC" w14:textId="60D57550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Inovācijas jaunu formātu radīšanai - 1. daļa</w:t>
            </w:r>
          </w:p>
        </w:tc>
      </w:tr>
      <w:tr w:rsidR="002062C6" w:rsidRPr="00615434" w14:paraId="1535B1F9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AB5A" w14:textId="7CC67429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28E72" w14:textId="115CB7C5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Inovācijas jaunu formātu radīšanai - 2. daļa</w:t>
            </w:r>
          </w:p>
        </w:tc>
      </w:tr>
      <w:tr w:rsidR="002062C6" w:rsidRPr="00615434" w14:paraId="7F615130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D0D32" w14:textId="5A3E3569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9543B" w14:textId="5A746AAB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Kā piesaistīt sieviešu auditoriju</w:t>
            </w:r>
          </w:p>
        </w:tc>
      </w:tr>
      <w:tr w:rsidR="002062C6" w:rsidRPr="00615434" w14:paraId="44D5B485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821E1" w14:textId="657DA393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48F0E" w14:textId="3E60004B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Atbalsta sesijas sadarbības veicināšanai - 1. daļa</w:t>
            </w:r>
          </w:p>
        </w:tc>
      </w:tr>
      <w:tr w:rsidR="002062C6" w:rsidRPr="00615434" w14:paraId="471A5D49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F7B67" w14:textId="6C0040BB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B221D" w14:textId="6138660A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Lietotāja veidots saturs</w:t>
            </w:r>
          </w:p>
        </w:tc>
      </w:tr>
      <w:tr w:rsidR="002062C6" w:rsidRPr="00615434" w14:paraId="1817785D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26CB" w14:textId="4F992209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7997C7" w14:textId="261DFC3B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Atbalsta sesijas sadarbības veicināšana - 2. daļa</w:t>
            </w:r>
          </w:p>
        </w:tc>
      </w:tr>
      <w:tr w:rsidR="002062C6" w:rsidRPr="00615434" w14:paraId="6F4BD29E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93FA2" w14:textId="46B5EEE4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19.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7143A7" w14:textId="3B771EE6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Sapulču sistēma</w:t>
            </w:r>
          </w:p>
        </w:tc>
      </w:tr>
      <w:tr w:rsidR="002062C6" w:rsidRPr="00615434" w14:paraId="1925C855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1C26" w14:textId="2AAE0026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BDEB9" w14:textId="063B2124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Sapulču vadīšana</w:t>
            </w:r>
          </w:p>
        </w:tc>
      </w:tr>
      <w:tr w:rsidR="002062C6" w:rsidRPr="00615434" w14:paraId="06662F77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B5BE" w14:textId="6BF2016F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832ADC" w14:textId="4C0BAEE0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Diskusiju vadīšana</w:t>
            </w:r>
          </w:p>
        </w:tc>
      </w:tr>
      <w:tr w:rsidR="002062C6" w:rsidRPr="00615434" w14:paraId="52D519E0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121A" w14:textId="2D5D0E28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79A23" w14:textId="08892939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Laika plānošana</w:t>
            </w:r>
          </w:p>
        </w:tc>
      </w:tr>
      <w:tr w:rsidR="002062C6" w:rsidRPr="00615434" w14:paraId="43C39EDE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B90B4" w14:textId="340C4F2E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E95B8" w14:textId="2466313C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Enerģijas atjaunošana</w:t>
            </w:r>
          </w:p>
        </w:tc>
      </w:tr>
      <w:tr w:rsidR="002062C6" w:rsidRPr="00615434" w14:paraId="0F0487DA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20F1" w14:textId="7ADD3403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28F81" w14:textId="426B354A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Excel-kursi (dažādi līmeņi)</w:t>
            </w:r>
          </w:p>
        </w:tc>
      </w:tr>
      <w:tr w:rsidR="002062C6" w:rsidRPr="00615434" w14:paraId="46F7EA5B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3849F" w14:textId="0B1220E5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C6EFE" w14:textId="554474D9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Pareiza un moderna rakstu valoda-korektora padomi</w:t>
            </w:r>
          </w:p>
        </w:tc>
      </w:tr>
      <w:tr w:rsidR="002062C6" w:rsidRPr="00615434" w14:paraId="7AF9E20D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9E315" w14:textId="1AD27C92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68352" w14:textId="3F438ECB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Kritiskā domāšana un informācijas analīze</w:t>
            </w:r>
          </w:p>
        </w:tc>
      </w:tr>
      <w:tr w:rsidR="002062C6" w:rsidRPr="00615434" w14:paraId="5B2B3E84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B10B7" w14:textId="40957BAA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2153E" w14:textId="65194E3B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Kā saskarsmi ar problemātiskām personām padarīt patīkamu</w:t>
            </w:r>
          </w:p>
        </w:tc>
      </w:tr>
      <w:tr w:rsidR="002062C6" w:rsidRPr="00615434" w14:paraId="5C6DDA9F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E0F10" w14:textId="01F31EA8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398D" w14:textId="6D1D09CE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Kreņķu menedžments jeb viegli par stresu</w:t>
            </w:r>
          </w:p>
        </w:tc>
      </w:tr>
      <w:tr w:rsidR="002062C6" w:rsidRPr="00615434" w14:paraId="6C130CB4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F4936" w14:textId="02823415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29.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8DAE0" w14:textId="4C648997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Saskarsme ar manipulatīvām, agresīvām un krīzes situācijā nonākušām personām</w:t>
            </w:r>
          </w:p>
        </w:tc>
      </w:tr>
      <w:tr w:rsidR="002062C6" w:rsidRPr="00615434" w14:paraId="3BF4CA16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081C0" w14:textId="3FE7CC14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DB3B38" w14:textId="27A870EA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Konfliktu risināšanas stratēģijas, kas strādā vienmēr</w:t>
            </w:r>
          </w:p>
        </w:tc>
      </w:tr>
      <w:tr w:rsidR="002062C6" w:rsidRPr="00615434" w14:paraId="09DF161A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2C4E1" w14:textId="420B6029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9861C" w14:textId="227E53D5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Efektīva un produktīva laika un darba organizēšana</w:t>
            </w:r>
          </w:p>
        </w:tc>
      </w:tr>
      <w:tr w:rsidR="002062C6" w:rsidRPr="00615434" w14:paraId="506A83A5" w14:textId="77777777" w:rsidTr="00064C4D">
        <w:trPr>
          <w:trHeight w:val="233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6343F" w14:textId="6883E7E6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5F8D1B" w14:textId="47A513CF" w:rsidR="00615434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Radošuma konference ”Creativity”</w:t>
            </w:r>
          </w:p>
        </w:tc>
      </w:tr>
      <w:tr w:rsidR="002062C6" w:rsidRPr="00615434" w14:paraId="2054E5D7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03B1" w14:textId="71955F3E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494409" w14:textId="1E4F1E3E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Konference “Cilvēkfaktors”</w:t>
            </w:r>
          </w:p>
        </w:tc>
      </w:tr>
      <w:tr w:rsidR="002062C6" w:rsidRPr="00615434" w14:paraId="499AC598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88A0" w14:textId="04AAE72B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34.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23767" w14:textId="51C28EF7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Franču valodas apguve</w:t>
            </w:r>
          </w:p>
        </w:tc>
      </w:tr>
      <w:tr w:rsidR="002062C6" w:rsidRPr="00615434" w14:paraId="4574807E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54FC8" w14:textId="1CAA2ECA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35.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9B2731" w14:textId="2CCD355F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Runas kultūra</w:t>
            </w:r>
          </w:p>
        </w:tc>
      </w:tr>
      <w:tr w:rsidR="002062C6" w:rsidRPr="00615434" w14:paraId="5ABCF7C9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1CD94" w14:textId="061E3EE0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36.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3971" w14:textId="3052966E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Balss, dikcija, rezonatori</w:t>
            </w:r>
          </w:p>
        </w:tc>
      </w:tr>
      <w:tr w:rsidR="002062C6" w:rsidRPr="00615434" w14:paraId="4EBA3DB8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DCFC" w14:textId="12A4373E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37.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7ABF40" w14:textId="22189BE1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Jēgpilns saturs sociālajos tīklos</w:t>
            </w:r>
          </w:p>
        </w:tc>
      </w:tr>
      <w:tr w:rsidR="002062C6" w:rsidRPr="00615434" w14:paraId="439BF30E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A4A54" w14:textId="6CDCF8DA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38.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49C175" w14:textId="14EB3453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SketchUp pamatkurss </w:t>
            </w:r>
          </w:p>
        </w:tc>
      </w:tr>
      <w:tr w:rsidR="002062C6" w:rsidRPr="00615434" w14:paraId="63F2A8D7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1B1B0" w14:textId="75A22790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39.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C82F6F" w14:textId="4CEC00E5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 xml:space="preserve">VUE kursi </w:t>
            </w:r>
          </w:p>
        </w:tc>
      </w:tr>
      <w:tr w:rsidR="002062C6" w:rsidRPr="00615434" w14:paraId="23303F5B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CD7F7E" w14:textId="5931330D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40.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442C86" w14:textId="756A6C66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SketchUpPro V-Ray 16</w:t>
            </w:r>
          </w:p>
        </w:tc>
      </w:tr>
      <w:tr w:rsidR="002062C6" w:rsidRPr="00615434" w14:paraId="410D63F1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9CDDB" w14:textId="66C406E7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41.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B5290" w14:textId="7CA0B0C1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Labbūtība kā kompetence</w:t>
            </w:r>
          </w:p>
        </w:tc>
      </w:tr>
      <w:tr w:rsidR="002062C6" w:rsidRPr="00615434" w14:paraId="66C15411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94050" w14:textId="79365CFF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42.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DF55" w14:textId="7C4B1A34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Storytelling</w:t>
            </w:r>
          </w:p>
        </w:tc>
      </w:tr>
      <w:tr w:rsidR="002062C6" w:rsidRPr="00615434" w14:paraId="2757A9B3" w14:textId="77777777" w:rsidTr="00615434"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1C5C1" w14:textId="7ACB897E" w:rsidR="002062C6" w:rsidRPr="00064C4D" w:rsidRDefault="00615434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color w:val="000000"/>
              </w:rPr>
            </w:pPr>
            <w:r w:rsidRPr="00064C4D">
              <w:rPr>
                <w:rFonts w:asciiTheme="majorHAnsi" w:eastAsia="Times New Roman" w:hAnsiTheme="majorHAnsi" w:cstheme="majorHAnsi"/>
                <w:color w:val="000000"/>
              </w:rPr>
              <w:t>43.</w:t>
            </w:r>
          </w:p>
        </w:tc>
        <w:tc>
          <w:tcPr>
            <w:tcW w:w="7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30032" w14:textId="77652DFA" w:rsidR="002062C6" w:rsidRPr="00615434" w:rsidRDefault="002062C6" w:rsidP="00615434">
            <w:pPr>
              <w:spacing w:line="240" w:lineRule="auto"/>
              <w:textAlignment w:val="baseline"/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</w:pPr>
            <w:r w:rsidRPr="00615434">
              <w:rPr>
                <w:rFonts w:asciiTheme="majorHAnsi" w:eastAsia="Times New Roman" w:hAnsiTheme="majorHAnsi" w:cstheme="majorHAnsi"/>
                <w:i/>
                <w:iCs/>
                <w:color w:val="000000"/>
              </w:rPr>
              <w:t>Runas treniņš</w:t>
            </w:r>
          </w:p>
        </w:tc>
      </w:tr>
    </w:tbl>
    <w:p w14:paraId="1DC15A89" w14:textId="77777777" w:rsidR="002062C6" w:rsidRDefault="002062C6"/>
    <w:p w14:paraId="6EC3F6F2" w14:textId="77777777" w:rsidR="002062C6" w:rsidRDefault="002062C6"/>
    <w:p w14:paraId="7B1BC41F" w14:textId="406F2DA5" w:rsidR="002062C6" w:rsidRDefault="002062C6">
      <w:pPr>
        <w:rPr>
          <w:rFonts w:asciiTheme="majorHAnsi" w:hAnsiTheme="majorHAnsi" w:cstheme="majorHAnsi"/>
          <w:i/>
          <w:iCs/>
        </w:rPr>
      </w:pPr>
      <w:r w:rsidRPr="00064C4D">
        <w:rPr>
          <w:rFonts w:asciiTheme="majorHAnsi" w:hAnsiTheme="majorHAnsi" w:cstheme="majorHAnsi"/>
          <w:i/>
          <w:iCs/>
        </w:rPr>
        <w:t>2020.gad</w:t>
      </w:r>
      <w:r w:rsidR="00064C4D" w:rsidRPr="00064C4D">
        <w:rPr>
          <w:rFonts w:asciiTheme="majorHAnsi" w:hAnsiTheme="majorHAnsi" w:cstheme="majorHAnsi"/>
          <w:i/>
          <w:iCs/>
        </w:rPr>
        <w:t>ā notikušās apmācības</w:t>
      </w:r>
      <w:r w:rsidRPr="00064C4D">
        <w:rPr>
          <w:rFonts w:asciiTheme="majorHAnsi" w:hAnsiTheme="majorHAnsi" w:cstheme="majorHAnsi"/>
          <w:i/>
          <w:iCs/>
        </w:rPr>
        <w:t xml:space="preserve"> </w:t>
      </w:r>
    </w:p>
    <w:p w14:paraId="18809C7C" w14:textId="5580228D" w:rsidR="00064C4D" w:rsidRPr="00064C4D" w:rsidRDefault="00064C4D">
      <w:pPr>
        <w:rPr>
          <w:rFonts w:asciiTheme="majorHAnsi" w:hAnsiTheme="majorHAnsi" w:cstheme="majorHAnsi"/>
          <w:i/>
          <w:iCs/>
        </w:rPr>
      </w:pPr>
      <w:r>
        <w:rPr>
          <w:rFonts w:asciiTheme="majorHAnsi" w:hAnsiTheme="majorHAnsi" w:cstheme="majorHAnsi"/>
          <w:i/>
          <w:iCs/>
        </w:rPr>
        <w:t>Budžets – 9938,- EUR</w:t>
      </w:r>
    </w:p>
    <w:p w14:paraId="133288ED" w14:textId="77777777" w:rsidR="002062C6" w:rsidRPr="00064C4D" w:rsidRDefault="002062C6">
      <w:pPr>
        <w:rPr>
          <w:rFonts w:asciiTheme="majorHAnsi" w:hAnsiTheme="majorHAnsi" w:cstheme="majorHAnsi"/>
        </w:rPr>
      </w:pPr>
    </w:p>
    <w:p w14:paraId="1AEB9992" w14:textId="6F979537" w:rsidR="002062C6" w:rsidRPr="00064C4D" w:rsidRDefault="002062C6" w:rsidP="002062C6">
      <w:pPr>
        <w:spacing w:line="240" w:lineRule="auto"/>
        <w:jc w:val="both"/>
        <w:rPr>
          <w:rFonts w:asciiTheme="majorHAnsi" w:hAnsiTheme="majorHAnsi" w:cstheme="majorHAnsi"/>
          <w:i/>
          <w:iCs/>
        </w:rPr>
      </w:pPr>
      <w:r w:rsidRPr="00064C4D">
        <w:rPr>
          <w:rFonts w:asciiTheme="majorHAnsi" w:hAnsiTheme="majorHAnsi" w:cstheme="majorHAnsi"/>
          <w:i/>
          <w:iCs/>
        </w:rPr>
        <w:t>2020.gadā saskaņā ar apmācību plānu LTV tika daļēji nodrošinātas  apmācības un atbalsta formas darbiniekiem no tādām struktūrvienībām: Saimniecības daļa, Mārketinga un komunikācijas daļa, Gaismu tehnoloģiju nodaļa,  Audiovizuālā nodrošinājuma daļa, Zi</w:t>
      </w:r>
      <w:r w:rsidR="004B0DE7">
        <w:rPr>
          <w:rFonts w:asciiTheme="majorHAnsi" w:hAnsiTheme="majorHAnsi" w:cstheme="majorHAnsi"/>
          <w:i/>
          <w:iCs/>
        </w:rPr>
        <w:t>ņ</w:t>
      </w:r>
      <w:r w:rsidRPr="00064C4D">
        <w:rPr>
          <w:rFonts w:asciiTheme="majorHAnsi" w:hAnsiTheme="majorHAnsi" w:cstheme="majorHAnsi"/>
          <w:i/>
          <w:iCs/>
        </w:rPr>
        <w:t>u dienests, Finanšu vadības un grāmatvedības daļa, Personāla daļa. Tika nodrošinātas apmācības starptautisku lektoru vadībā, piesaistot ārējo finansējumu, to izmantojuši Z</w:t>
      </w:r>
      <w:r w:rsidR="00E5548A">
        <w:rPr>
          <w:rFonts w:asciiTheme="majorHAnsi" w:hAnsiTheme="majorHAnsi" w:cstheme="majorHAnsi"/>
          <w:i/>
          <w:iCs/>
        </w:rPr>
        <w:t>iņu dienesta</w:t>
      </w:r>
      <w:r w:rsidRPr="00064C4D">
        <w:rPr>
          <w:rFonts w:asciiTheme="majorHAnsi" w:hAnsiTheme="majorHAnsi" w:cstheme="majorHAnsi"/>
          <w:i/>
          <w:iCs/>
        </w:rPr>
        <w:t>, Raidījumu daļas un LSM darbinieki.</w:t>
      </w:r>
    </w:p>
    <w:p w14:paraId="000D57BD" w14:textId="77777777" w:rsidR="002062C6" w:rsidRPr="00064C4D" w:rsidRDefault="002062C6">
      <w:pPr>
        <w:rPr>
          <w:rFonts w:asciiTheme="majorHAnsi" w:hAnsiTheme="majorHAnsi" w:cstheme="majorHAnsi"/>
          <w:i/>
          <w:iCs/>
        </w:rPr>
      </w:pPr>
    </w:p>
    <w:sectPr w:rsidR="002062C6" w:rsidRPr="00064C4D" w:rsidSect="00064C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3C2"/>
    <w:rsid w:val="00064C4D"/>
    <w:rsid w:val="002062C6"/>
    <w:rsid w:val="003E4A23"/>
    <w:rsid w:val="004B0DE7"/>
    <w:rsid w:val="00615434"/>
    <w:rsid w:val="006B0AAD"/>
    <w:rsid w:val="007B73C2"/>
    <w:rsid w:val="00A51EE8"/>
    <w:rsid w:val="00DA7C5E"/>
    <w:rsid w:val="00E55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CCAB4A1"/>
  <w15:chartTrackingRefBased/>
  <w15:docId w15:val="{5284D0D2-01D0-40EC-8177-99F597D1F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A23"/>
    <w:pPr>
      <w:spacing w:after="0" w:line="276" w:lineRule="auto"/>
    </w:pPr>
    <w:rPr>
      <w:rFonts w:ascii="Arial" w:eastAsia="Arial" w:hAnsi="Arial" w:cs="Arial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E4A23"/>
    <w:pPr>
      <w:keepNext/>
      <w:keepLines/>
      <w:spacing w:after="240"/>
      <w:outlineLvl w:val="0"/>
    </w:pPr>
    <w:rPr>
      <w:rFonts w:asciiTheme="majorHAnsi" w:hAnsiTheme="majorHAnsi"/>
      <w:b/>
      <w:sz w:val="32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3E4A23"/>
    <w:rPr>
      <w:rFonts w:asciiTheme="majorHAnsi" w:eastAsia="Arial" w:hAnsiTheme="majorHAnsi" w:cs="Arial"/>
      <w:b/>
      <w:kern w:val="0"/>
      <w:sz w:val="32"/>
      <w:szCs w:val="4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B658B-20BE-4DCE-88D2-0EC817ACA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2122</Words>
  <Characters>1211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Kristiāna Žaunerčika</dc:creator>
  <cp:keywords/>
  <dc:description/>
  <cp:lastModifiedBy>Baiba Beāte Šleja</cp:lastModifiedBy>
  <cp:revision>2</cp:revision>
  <dcterms:created xsi:type="dcterms:W3CDTF">2023-07-04T10:55:00Z</dcterms:created>
  <dcterms:modified xsi:type="dcterms:W3CDTF">2023-07-04T10:55:00Z</dcterms:modified>
</cp:coreProperties>
</file>